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F67A5" w14:textId="77777777" w:rsidR="00EE4434" w:rsidRPr="00353CAD" w:rsidRDefault="00EE4434" w:rsidP="00EE4434">
      <w:pPr>
        <w:pBdr>
          <w:top w:val="double" w:sz="4" w:space="1" w:color="auto"/>
          <w:left w:val="double" w:sz="4" w:space="0" w:color="auto"/>
          <w:bottom w:val="double" w:sz="4" w:space="1" w:color="auto"/>
          <w:right w:val="double" w:sz="4" w:space="0" w:color="auto"/>
        </w:pBdr>
        <w:autoSpaceDE w:val="0"/>
        <w:autoSpaceDN w:val="0"/>
        <w:adjustRightInd w:val="0"/>
        <w:spacing w:after="120"/>
        <w:ind w:right="-59"/>
        <w:jc w:val="center"/>
        <w:rPr>
          <w:rFonts w:asciiTheme="majorHAnsi" w:hAnsiTheme="majorHAnsi" w:cs="Arial"/>
          <w:bCs/>
          <w:smallCaps/>
          <w:sz w:val="24"/>
          <w:szCs w:val="24"/>
        </w:rPr>
      </w:pPr>
      <w:r w:rsidRPr="00353CAD">
        <w:rPr>
          <w:rFonts w:asciiTheme="majorHAnsi" w:hAnsiTheme="majorHAnsi" w:cs="Arial"/>
          <w:bCs/>
          <w:smallCaps/>
          <w:sz w:val="24"/>
          <w:szCs w:val="24"/>
        </w:rPr>
        <w:t>IASC Task Team on The Humanitarian Development Nexus (HDN</w:t>
      </w:r>
      <w:r w:rsidR="002E739A" w:rsidRPr="00353CAD">
        <w:rPr>
          <w:rFonts w:asciiTheme="majorHAnsi" w:hAnsiTheme="majorHAnsi" w:cs="Arial"/>
          <w:bCs/>
          <w:smallCaps/>
          <w:sz w:val="24"/>
          <w:szCs w:val="24"/>
        </w:rPr>
        <w:t xml:space="preserve"> TT</w:t>
      </w:r>
      <w:r w:rsidRPr="00353CAD">
        <w:rPr>
          <w:rFonts w:asciiTheme="majorHAnsi" w:hAnsiTheme="majorHAnsi" w:cs="Arial"/>
          <w:bCs/>
          <w:smallCaps/>
          <w:sz w:val="24"/>
          <w:szCs w:val="24"/>
        </w:rPr>
        <w:t>)</w:t>
      </w:r>
    </w:p>
    <w:p w14:paraId="70780E10" w14:textId="77777777" w:rsidR="002E739A" w:rsidRPr="00353CAD" w:rsidRDefault="002E739A" w:rsidP="002E739A">
      <w:pPr>
        <w:pBdr>
          <w:top w:val="double" w:sz="4" w:space="1" w:color="auto"/>
          <w:left w:val="double" w:sz="4" w:space="0" w:color="auto"/>
          <w:bottom w:val="double" w:sz="4" w:space="1" w:color="auto"/>
          <w:right w:val="double" w:sz="4" w:space="0" w:color="auto"/>
        </w:pBdr>
        <w:autoSpaceDE w:val="0"/>
        <w:autoSpaceDN w:val="0"/>
        <w:adjustRightInd w:val="0"/>
        <w:spacing w:after="120"/>
        <w:ind w:right="-59"/>
        <w:jc w:val="center"/>
        <w:rPr>
          <w:rFonts w:asciiTheme="majorHAnsi" w:hAnsiTheme="majorHAnsi" w:cs="Arial"/>
          <w:bCs/>
          <w:smallCaps/>
          <w:sz w:val="24"/>
          <w:szCs w:val="24"/>
        </w:rPr>
      </w:pPr>
      <w:r w:rsidRPr="00353CAD">
        <w:rPr>
          <w:rFonts w:asciiTheme="majorHAnsi" w:hAnsiTheme="majorHAnsi" w:cs="Arial"/>
          <w:bCs/>
          <w:smallCaps/>
          <w:sz w:val="24"/>
          <w:szCs w:val="24"/>
        </w:rPr>
        <w:t>with a focus on protracted emergencies</w:t>
      </w:r>
    </w:p>
    <w:p w14:paraId="48C075F2" w14:textId="77777777" w:rsidR="00EE4434" w:rsidRPr="00353CAD" w:rsidRDefault="00EE4434" w:rsidP="00EE4434">
      <w:pPr>
        <w:pBdr>
          <w:top w:val="double" w:sz="4" w:space="1" w:color="auto"/>
          <w:left w:val="double" w:sz="4" w:space="0" w:color="auto"/>
          <w:bottom w:val="double" w:sz="4" w:space="1" w:color="auto"/>
          <w:right w:val="double" w:sz="4" w:space="0" w:color="auto"/>
        </w:pBdr>
        <w:autoSpaceDE w:val="0"/>
        <w:autoSpaceDN w:val="0"/>
        <w:adjustRightInd w:val="0"/>
        <w:spacing w:before="240" w:after="120"/>
        <w:ind w:right="-59"/>
        <w:jc w:val="center"/>
        <w:rPr>
          <w:rFonts w:asciiTheme="majorHAnsi" w:hAnsiTheme="majorHAnsi" w:cs="Arial"/>
          <w:b/>
          <w:bCs/>
          <w:color w:val="1F497D" w:themeColor="text2"/>
          <w:sz w:val="36"/>
          <w:szCs w:val="36"/>
        </w:rPr>
      </w:pPr>
      <w:r w:rsidRPr="00353CAD">
        <w:rPr>
          <w:rFonts w:asciiTheme="majorHAnsi" w:hAnsiTheme="majorHAnsi" w:cs="Arial"/>
          <w:b/>
          <w:bCs/>
          <w:color w:val="1F497D" w:themeColor="text2"/>
          <w:sz w:val="36"/>
          <w:szCs w:val="36"/>
        </w:rPr>
        <w:t>Summary Record and Action Points</w:t>
      </w:r>
    </w:p>
    <w:p w14:paraId="1A79A1C1" w14:textId="77777777" w:rsidR="00EE4434" w:rsidRPr="00353CAD" w:rsidRDefault="000C08B6" w:rsidP="000C08B6">
      <w:pPr>
        <w:pBdr>
          <w:top w:val="double" w:sz="4" w:space="1" w:color="auto"/>
          <w:left w:val="double" w:sz="4" w:space="0" w:color="auto"/>
          <w:bottom w:val="double" w:sz="4" w:space="1" w:color="auto"/>
          <w:right w:val="double" w:sz="4" w:space="0" w:color="auto"/>
        </w:pBdr>
        <w:autoSpaceDE w:val="0"/>
        <w:autoSpaceDN w:val="0"/>
        <w:adjustRightInd w:val="0"/>
        <w:spacing w:after="120"/>
        <w:ind w:right="-59"/>
        <w:jc w:val="center"/>
        <w:rPr>
          <w:rFonts w:asciiTheme="majorHAnsi" w:hAnsiTheme="majorHAnsi" w:cs="Arial"/>
          <w:bCs/>
          <w:smallCaps/>
          <w:sz w:val="24"/>
          <w:szCs w:val="24"/>
        </w:rPr>
      </w:pPr>
      <w:r>
        <w:rPr>
          <w:rFonts w:asciiTheme="majorHAnsi" w:hAnsiTheme="majorHAnsi" w:cs="Arial"/>
          <w:bCs/>
          <w:smallCaps/>
          <w:sz w:val="24"/>
          <w:szCs w:val="24"/>
        </w:rPr>
        <w:t>2</w:t>
      </w:r>
      <w:r w:rsidRPr="000C08B6">
        <w:rPr>
          <w:rFonts w:asciiTheme="majorHAnsi" w:hAnsiTheme="majorHAnsi" w:cs="Arial"/>
          <w:bCs/>
          <w:smallCaps/>
          <w:sz w:val="24"/>
          <w:szCs w:val="24"/>
          <w:vertAlign w:val="superscript"/>
        </w:rPr>
        <w:t>nd</w:t>
      </w:r>
      <w:r>
        <w:rPr>
          <w:rFonts w:asciiTheme="majorHAnsi" w:hAnsiTheme="majorHAnsi" w:cs="Arial"/>
          <w:bCs/>
          <w:smallCaps/>
          <w:sz w:val="24"/>
          <w:szCs w:val="24"/>
        </w:rPr>
        <w:t xml:space="preserve"> February 2018</w:t>
      </w:r>
      <w:r w:rsidR="002118CD">
        <w:rPr>
          <w:rFonts w:asciiTheme="majorHAnsi" w:hAnsiTheme="majorHAnsi" w:cs="Arial"/>
          <w:bCs/>
          <w:smallCaps/>
          <w:sz w:val="24"/>
          <w:szCs w:val="24"/>
        </w:rPr>
        <w:t>: 15.30</w:t>
      </w:r>
      <w:r>
        <w:rPr>
          <w:rFonts w:asciiTheme="majorHAnsi" w:hAnsiTheme="majorHAnsi" w:cs="Arial"/>
          <w:bCs/>
          <w:smallCaps/>
          <w:sz w:val="24"/>
          <w:szCs w:val="24"/>
        </w:rPr>
        <w:t xml:space="preserve"> – 17.30</w:t>
      </w:r>
    </w:p>
    <w:p w14:paraId="473F1E9D" w14:textId="77777777" w:rsidR="00EE4434" w:rsidRPr="00353CAD" w:rsidRDefault="00EE4434" w:rsidP="000C08B6">
      <w:pPr>
        <w:pBdr>
          <w:top w:val="double" w:sz="4" w:space="1" w:color="auto"/>
          <w:left w:val="double" w:sz="4" w:space="0" w:color="auto"/>
          <w:bottom w:val="double" w:sz="4" w:space="1" w:color="auto"/>
          <w:right w:val="double" w:sz="4" w:space="0" w:color="auto"/>
        </w:pBdr>
        <w:autoSpaceDE w:val="0"/>
        <w:autoSpaceDN w:val="0"/>
        <w:adjustRightInd w:val="0"/>
        <w:spacing w:after="120"/>
        <w:ind w:right="-59"/>
        <w:jc w:val="center"/>
        <w:rPr>
          <w:rFonts w:asciiTheme="majorHAnsi" w:hAnsiTheme="majorHAnsi" w:cs="Arial"/>
          <w:bCs/>
          <w:smallCaps/>
          <w:sz w:val="24"/>
          <w:szCs w:val="24"/>
        </w:rPr>
      </w:pPr>
      <w:r w:rsidRPr="00353CAD">
        <w:rPr>
          <w:rFonts w:asciiTheme="majorHAnsi" w:eastAsia="Arial" w:hAnsiTheme="majorHAnsi" w:cs="Arial"/>
          <w:smallCaps/>
          <w:sz w:val="24"/>
          <w:szCs w:val="24"/>
        </w:rPr>
        <w:t>Venue:</w:t>
      </w:r>
      <w:r w:rsidR="00B54DAB">
        <w:rPr>
          <w:rFonts w:asciiTheme="majorHAnsi" w:eastAsia="Arial" w:hAnsiTheme="majorHAnsi" w:cs="Arial"/>
          <w:smallCaps/>
          <w:sz w:val="24"/>
          <w:szCs w:val="24"/>
        </w:rPr>
        <w:t xml:space="preserve"> </w:t>
      </w:r>
      <w:r w:rsidR="000C08B6">
        <w:rPr>
          <w:rFonts w:asciiTheme="majorHAnsi" w:eastAsia="Arial" w:hAnsiTheme="majorHAnsi" w:cs="Arial"/>
          <w:smallCaps/>
          <w:sz w:val="24"/>
          <w:szCs w:val="24"/>
        </w:rPr>
        <w:t>Palais Des Nations</w:t>
      </w:r>
    </w:p>
    <w:p w14:paraId="5B863B09" w14:textId="77777777" w:rsidR="000C08B6" w:rsidRDefault="005320E6" w:rsidP="000C08B6">
      <w:pPr>
        <w:jc w:val="both"/>
        <w:rPr>
          <w:rFonts w:asciiTheme="majorHAnsi" w:hAnsiTheme="majorHAnsi"/>
        </w:rPr>
      </w:pPr>
      <w:r w:rsidRPr="00353CAD">
        <w:rPr>
          <w:rFonts w:asciiTheme="majorHAnsi" w:hAnsiTheme="majorHAnsi"/>
          <w:b/>
          <w:bCs/>
          <w:u w:val="single"/>
        </w:rPr>
        <w:t>In Geneva</w:t>
      </w:r>
      <w:r w:rsidR="00004848" w:rsidRPr="00353CAD">
        <w:rPr>
          <w:rFonts w:asciiTheme="majorHAnsi" w:hAnsiTheme="majorHAnsi"/>
        </w:rPr>
        <w:t xml:space="preserve">: </w:t>
      </w:r>
      <w:r w:rsidR="000C08B6">
        <w:rPr>
          <w:rFonts w:asciiTheme="majorHAnsi" w:hAnsiTheme="majorHAnsi"/>
        </w:rPr>
        <w:t xml:space="preserve">UNICEF, WHO, WFP, FAO, NRC, WB, OHCHR, OCHA, UN Women, </w:t>
      </w:r>
    </w:p>
    <w:p w14:paraId="4793A57B" w14:textId="77777777" w:rsidR="005320E6" w:rsidRPr="00353CAD" w:rsidRDefault="005320E6" w:rsidP="000C08B6">
      <w:pPr>
        <w:jc w:val="both"/>
        <w:rPr>
          <w:rFonts w:asciiTheme="majorHAnsi" w:hAnsiTheme="majorHAnsi"/>
        </w:rPr>
      </w:pPr>
      <w:r w:rsidRPr="00353CAD">
        <w:rPr>
          <w:rFonts w:asciiTheme="majorHAnsi" w:hAnsiTheme="majorHAnsi"/>
          <w:b/>
          <w:bCs/>
          <w:u w:val="single"/>
        </w:rPr>
        <w:t>On the phone</w:t>
      </w:r>
      <w:r w:rsidRPr="00353CAD">
        <w:rPr>
          <w:rFonts w:asciiTheme="majorHAnsi" w:hAnsiTheme="majorHAnsi"/>
        </w:rPr>
        <w:t xml:space="preserve">: </w:t>
      </w:r>
      <w:r w:rsidR="000C08B6">
        <w:rPr>
          <w:rFonts w:asciiTheme="majorHAnsi" w:hAnsiTheme="majorHAnsi"/>
        </w:rPr>
        <w:t xml:space="preserve">IOM, OCHA, IASC Secretariat, ICRC, UNDP, DRC, Interaction, ICVA, </w:t>
      </w:r>
    </w:p>
    <w:p w14:paraId="06403807" w14:textId="77777777" w:rsidR="00551CD4" w:rsidRPr="00353CAD" w:rsidRDefault="00551CD4" w:rsidP="00DC1C6A">
      <w:pPr>
        <w:jc w:val="both"/>
        <w:rPr>
          <w:rFonts w:asciiTheme="majorHAnsi" w:hAnsiTheme="majorHAnsi"/>
        </w:rPr>
      </w:pPr>
      <w:r w:rsidRPr="00353CAD">
        <w:rPr>
          <w:rFonts w:asciiTheme="majorHAnsi" w:hAnsiTheme="majorHAnsi"/>
          <w:b/>
          <w:bCs/>
          <w:u w:val="single"/>
        </w:rPr>
        <w:t>Co-chairs</w:t>
      </w:r>
      <w:r w:rsidRPr="00353CAD">
        <w:rPr>
          <w:rFonts w:asciiTheme="majorHAnsi" w:hAnsiTheme="majorHAnsi"/>
          <w:b/>
          <w:bCs/>
        </w:rPr>
        <w:t>:</w:t>
      </w:r>
      <w:r w:rsidRPr="00353CAD">
        <w:rPr>
          <w:rFonts w:asciiTheme="majorHAnsi" w:hAnsiTheme="majorHAnsi"/>
        </w:rPr>
        <w:t xml:space="preserve"> UNDP and WHO</w:t>
      </w:r>
    </w:p>
    <w:p w14:paraId="68B21DF0" w14:textId="77777777" w:rsidR="005320E6" w:rsidRPr="000C08B6" w:rsidRDefault="005320E6" w:rsidP="000C08B6">
      <w:pPr>
        <w:jc w:val="both"/>
        <w:rPr>
          <w:rFonts w:asciiTheme="majorHAnsi" w:hAnsiTheme="majorHAnsi"/>
        </w:rPr>
      </w:pPr>
      <w:r w:rsidRPr="00353CAD">
        <w:rPr>
          <w:rFonts w:asciiTheme="majorHAnsi" w:hAnsiTheme="majorHAnsi"/>
          <w:b/>
          <w:bCs/>
        </w:rPr>
        <w:t xml:space="preserve">Agenda Item 1: </w:t>
      </w:r>
      <w:r w:rsidR="00004848" w:rsidRPr="00353CAD">
        <w:rPr>
          <w:rFonts w:asciiTheme="majorHAnsi" w:hAnsiTheme="majorHAnsi"/>
          <w:b/>
          <w:bCs/>
        </w:rPr>
        <w:t>Approval of Summary Report</w:t>
      </w:r>
      <w:r w:rsidR="000C08B6">
        <w:rPr>
          <w:rFonts w:asciiTheme="majorHAnsi" w:hAnsiTheme="majorHAnsi"/>
          <w:b/>
          <w:bCs/>
        </w:rPr>
        <w:t xml:space="preserve">: Approved – </w:t>
      </w:r>
      <w:r w:rsidR="000C08B6">
        <w:rPr>
          <w:rFonts w:asciiTheme="majorHAnsi" w:hAnsiTheme="majorHAnsi"/>
        </w:rPr>
        <w:t>with UN Women requesting clarification on contents in separate bilateral.</w:t>
      </w:r>
    </w:p>
    <w:p w14:paraId="14335F46" w14:textId="77777777" w:rsidR="005320E6" w:rsidRPr="002118CD" w:rsidRDefault="005320E6" w:rsidP="000C08B6">
      <w:pPr>
        <w:jc w:val="both"/>
        <w:rPr>
          <w:rFonts w:asciiTheme="majorHAnsi" w:hAnsiTheme="majorHAnsi"/>
        </w:rPr>
      </w:pPr>
      <w:r w:rsidRPr="00353CAD">
        <w:rPr>
          <w:rFonts w:asciiTheme="majorHAnsi" w:hAnsiTheme="majorHAnsi"/>
          <w:b/>
          <w:bCs/>
        </w:rPr>
        <w:t xml:space="preserve">Agenda Item 2: </w:t>
      </w:r>
      <w:r w:rsidR="000C08B6">
        <w:rPr>
          <w:rFonts w:asciiTheme="majorHAnsi" w:hAnsiTheme="majorHAnsi"/>
          <w:b/>
          <w:bCs/>
        </w:rPr>
        <w:t>Update on Key Messages:</w:t>
      </w:r>
      <w:r w:rsidR="002118CD">
        <w:rPr>
          <w:rFonts w:asciiTheme="majorHAnsi" w:hAnsiTheme="majorHAnsi"/>
          <w:b/>
          <w:bCs/>
        </w:rPr>
        <w:t xml:space="preserve"> </w:t>
      </w:r>
    </w:p>
    <w:p w14:paraId="11DAC72A" w14:textId="77777777" w:rsidR="00AD7490" w:rsidRPr="00A55593" w:rsidRDefault="002B6F7E" w:rsidP="00D20971">
      <w:pPr>
        <w:jc w:val="both"/>
        <w:rPr>
          <w:rFonts w:asciiTheme="majorHAnsi" w:hAnsiTheme="majorHAnsi"/>
        </w:rPr>
      </w:pPr>
      <w:r w:rsidRPr="00353CAD">
        <w:rPr>
          <w:rFonts w:asciiTheme="majorHAnsi" w:hAnsiTheme="majorHAnsi"/>
          <w:b/>
          <w:bCs/>
        </w:rPr>
        <w:t>Introduction</w:t>
      </w:r>
      <w:r w:rsidR="000D6773">
        <w:rPr>
          <w:rFonts w:asciiTheme="majorHAnsi" w:hAnsiTheme="majorHAnsi"/>
          <w:b/>
          <w:bCs/>
        </w:rPr>
        <w:t xml:space="preserve"> (Co-chairs</w:t>
      </w:r>
      <w:r w:rsidR="007937AB">
        <w:rPr>
          <w:rFonts w:asciiTheme="majorHAnsi" w:hAnsiTheme="majorHAnsi"/>
          <w:b/>
          <w:bCs/>
        </w:rPr>
        <w:t>, UNDP</w:t>
      </w:r>
      <w:r w:rsidRPr="00353CAD">
        <w:rPr>
          <w:rFonts w:asciiTheme="majorHAnsi" w:hAnsiTheme="majorHAnsi"/>
          <w:b/>
          <w:bCs/>
        </w:rPr>
        <w:t xml:space="preserve">): </w:t>
      </w:r>
      <w:r w:rsidR="000C08B6">
        <w:rPr>
          <w:rFonts w:asciiTheme="majorHAnsi" w:hAnsiTheme="majorHAnsi"/>
        </w:rPr>
        <w:t>Members will recall that this activity is done in collaboration with the UNDG Results Group</w:t>
      </w:r>
      <w:r w:rsidR="00333498">
        <w:rPr>
          <w:rFonts w:asciiTheme="majorHAnsi" w:hAnsiTheme="majorHAnsi"/>
        </w:rPr>
        <w:t xml:space="preserve"> and </w:t>
      </w:r>
      <w:proofErr w:type="gramStart"/>
      <w:r w:rsidR="00333498">
        <w:rPr>
          <w:rFonts w:asciiTheme="majorHAnsi" w:hAnsiTheme="majorHAnsi"/>
        </w:rPr>
        <w:t>that key messages</w:t>
      </w:r>
      <w:proofErr w:type="gramEnd"/>
      <w:r w:rsidR="00333498">
        <w:rPr>
          <w:rFonts w:asciiTheme="majorHAnsi" w:hAnsiTheme="majorHAnsi"/>
        </w:rPr>
        <w:t xml:space="preserve"> therefore refer to the HDP nexus, linking to the dimension of peace and prevention where and when possible</w:t>
      </w:r>
      <w:r w:rsidR="000C08B6">
        <w:rPr>
          <w:rFonts w:asciiTheme="majorHAnsi" w:hAnsiTheme="majorHAnsi"/>
        </w:rPr>
        <w:t xml:space="preserve">. Comments were received from 12 agencies </w:t>
      </w:r>
      <w:r w:rsidR="00D20971">
        <w:rPr>
          <w:rFonts w:asciiTheme="majorHAnsi" w:hAnsiTheme="majorHAnsi"/>
        </w:rPr>
        <w:t>through</w:t>
      </w:r>
      <w:r w:rsidR="000C08B6">
        <w:rPr>
          <w:rFonts w:asciiTheme="majorHAnsi" w:hAnsiTheme="majorHAnsi"/>
        </w:rPr>
        <w:t xml:space="preserve"> the latest consultation round. By way of update, the co-chairs note that they </w:t>
      </w:r>
      <w:r w:rsidR="00D20971">
        <w:rPr>
          <w:rFonts w:asciiTheme="majorHAnsi" w:hAnsiTheme="majorHAnsi"/>
        </w:rPr>
        <w:t xml:space="preserve">are currently </w:t>
      </w:r>
      <w:r w:rsidR="000C08B6">
        <w:rPr>
          <w:rFonts w:asciiTheme="majorHAnsi" w:hAnsiTheme="majorHAnsi"/>
        </w:rPr>
        <w:t>in discussions with DOCO, representing the UNDG. Preliminary analysis of the responses so far show that we have lost track of the audience of the KM</w:t>
      </w:r>
      <w:r w:rsidR="00D20971">
        <w:rPr>
          <w:rFonts w:asciiTheme="majorHAnsi" w:hAnsiTheme="majorHAnsi"/>
        </w:rPr>
        <w:t xml:space="preserve"> and who is speaking (noting that the KMs are supposed to be pitched at the </w:t>
      </w:r>
      <w:proofErr w:type="gramStart"/>
      <w:r w:rsidR="00D20971">
        <w:rPr>
          <w:rFonts w:asciiTheme="majorHAnsi" w:hAnsiTheme="majorHAnsi"/>
        </w:rPr>
        <w:t>Principals</w:t>
      </w:r>
      <w:proofErr w:type="gramEnd"/>
      <w:r w:rsidR="00D20971">
        <w:rPr>
          <w:rFonts w:asciiTheme="majorHAnsi" w:hAnsiTheme="majorHAnsi"/>
        </w:rPr>
        <w:t xml:space="preserve"> level)</w:t>
      </w:r>
      <w:r w:rsidR="000C08B6">
        <w:rPr>
          <w:rFonts w:asciiTheme="majorHAnsi" w:hAnsiTheme="majorHAnsi"/>
        </w:rPr>
        <w:t xml:space="preserve">; useful language was provided by agencies from major reports; there is a confusion around what we mean by NWOW in relation to the HDN; </w:t>
      </w:r>
      <w:r w:rsidR="003173CA">
        <w:rPr>
          <w:rFonts w:asciiTheme="majorHAnsi" w:hAnsiTheme="majorHAnsi"/>
        </w:rPr>
        <w:t>comments on the KM revealed an appetite for joint-programmes/ and co-designed activities as a fundamental element of strengthening the HDN.</w:t>
      </w:r>
    </w:p>
    <w:p w14:paraId="11175BB8" w14:textId="77777777" w:rsidR="003173CA" w:rsidRDefault="003173CA" w:rsidP="003173CA">
      <w:pPr>
        <w:ind w:left="284"/>
        <w:jc w:val="both"/>
        <w:rPr>
          <w:rFonts w:asciiTheme="majorHAnsi" w:hAnsiTheme="majorHAnsi"/>
          <w:b/>
          <w:bCs/>
        </w:rPr>
      </w:pPr>
      <w:r>
        <w:rPr>
          <w:rFonts w:asciiTheme="majorHAnsi" w:hAnsiTheme="majorHAnsi"/>
          <w:b/>
          <w:bCs/>
        </w:rPr>
        <w:t>NRC</w:t>
      </w:r>
      <w:r w:rsidR="00876B34" w:rsidRPr="00353CAD">
        <w:rPr>
          <w:rFonts w:asciiTheme="majorHAnsi" w:hAnsiTheme="majorHAnsi"/>
          <w:b/>
          <w:bCs/>
        </w:rPr>
        <w:t xml:space="preserve">: </w:t>
      </w:r>
      <w:r>
        <w:rPr>
          <w:rFonts w:asciiTheme="majorHAnsi" w:hAnsiTheme="majorHAnsi"/>
        </w:rPr>
        <w:t>The RG on principled humanitarian action has been looking at different priority topics for its workplan. How HDN and NWOW impacts on humanitarian action came out as one of the priority areas. Request to share the KM with the RG.</w:t>
      </w:r>
      <w:r>
        <w:rPr>
          <w:rFonts w:asciiTheme="majorHAnsi" w:hAnsiTheme="majorHAnsi"/>
          <w:b/>
          <w:bCs/>
        </w:rPr>
        <w:tab/>
      </w:r>
    </w:p>
    <w:p w14:paraId="482663EE" w14:textId="77777777" w:rsidR="003173CA" w:rsidRPr="003173CA" w:rsidRDefault="003173CA" w:rsidP="003173CA">
      <w:pPr>
        <w:ind w:left="284" w:firstLine="436"/>
        <w:jc w:val="both"/>
        <w:rPr>
          <w:rFonts w:asciiTheme="majorHAnsi" w:hAnsiTheme="majorHAnsi"/>
        </w:rPr>
      </w:pPr>
      <w:r>
        <w:rPr>
          <w:rFonts w:asciiTheme="majorHAnsi" w:hAnsiTheme="majorHAnsi"/>
          <w:b/>
          <w:bCs/>
        </w:rPr>
        <w:t xml:space="preserve">IOM: </w:t>
      </w:r>
      <w:r>
        <w:rPr>
          <w:rFonts w:asciiTheme="majorHAnsi" w:hAnsiTheme="majorHAnsi"/>
        </w:rPr>
        <w:t xml:space="preserve">offers to support as IOM is in the lead in that particular workstream </w:t>
      </w:r>
    </w:p>
    <w:tbl>
      <w:tblPr>
        <w:tblStyle w:val="TableGrid"/>
        <w:tblW w:w="0" w:type="auto"/>
        <w:tblInd w:w="284" w:type="dxa"/>
        <w:shd w:val="clear" w:color="auto" w:fill="DBE5F1" w:themeFill="accent1" w:themeFillTint="33"/>
        <w:tblLook w:val="04A0" w:firstRow="1" w:lastRow="0" w:firstColumn="1" w:lastColumn="0" w:noHBand="0" w:noVBand="1"/>
      </w:tblPr>
      <w:tblGrid>
        <w:gridCol w:w="8732"/>
      </w:tblGrid>
      <w:tr w:rsidR="003173CA" w:rsidRPr="00353CAD" w14:paraId="03B8019A" w14:textId="77777777" w:rsidTr="00333498">
        <w:trPr>
          <w:trHeight w:val="772"/>
        </w:trPr>
        <w:tc>
          <w:tcPr>
            <w:tcW w:w="8958" w:type="dxa"/>
            <w:shd w:val="clear" w:color="auto" w:fill="DBE5F1" w:themeFill="accent1" w:themeFillTint="33"/>
          </w:tcPr>
          <w:p w14:paraId="03D4833F" w14:textId="77777777" w:rsidR="003173CA" w:rsidRPr="00353CAD" w:rsidRDefault="003173CA" w:rsidP="00072B1C">
            <w:pPr>
              <w:jc w:val="both"/>
              <w:rPr>
                <w:rFonts w:asciiTheme="majorHAnsi" w:hAnsiTheme="majorHAnsi"/>
                <w:b/>
                <w:bCs/>
                <w:color w:val="FF0000"/>
              </w:rPr>
            </w:pPr>
          </w:p>
          <w:p w14:paraId="0ABBBCF1" w14:textId="77777777" w:rsidR="003173CA" w:rsidRPr="007937AB" w:rsidRDefault="003173CA" w:rsidP="003173CA">
            <w:pPr>
              <w:jc w:val="both"/>
              <w:rPr>
                <w:rFonts w:asciiTheme="majorHAnsi" w:hAnsiTheme="majorHAnsi"/>
              </w:rPr>
            </w:pPr>
            <w:r w:rsidRPr="00353CAD">
              <w:rPr>
                <w:rFonts w:asciiTheme="majorHAnsi" w:hAnsiTheme="majorHAnsi"/>
                <w:b/>
                <w:bCs/>
                <w:color w:val="FF0000"/>
              </w:rPr>
              <w:t>ACTION</w:t>
            </w:r>
            <w:r w:rsidRPr="00353CAD">
              <w:rPr>
                <w:rFonts w:asciiTheme="majorHAnsi" w:hAnsiTheme="majorHAnsi"/>
              </w:rPr>
              <w:t xml:space="preserve">: </w:t>
            </w:r>
            <w:r>
              <w:rPr>
                <w:rFonts w:asciiTheme="majorHAnsi" w:hAnsiTheme="majorHAnsi"/>
              </w:rPr>
              <w:t>Co-chairs to participate in next RG PHA meeting to brief on the KMs and the work of the HDN TT.</w:t>
            </w:r>
          </w:p>
          <w:p w14:paraId="5F4C0DBD" w14:textId="77777777" w:rsidR="003173CA" w:rsidRPr="00AD7490" w:rsidRDefault="003173CA" w:rsidP="00072B1C">
            <w:pPr>
              <w:jc w:val="both"/>
              <w:rPr>
                <w:rFonts w:asciiTheme="majorHAnsi" w:hAnsiTheme="majorHAnsi"/>
              </w:rPr>
            </w:pPr>
          </w:p>
        </w:tc>
      </w:tr>
    </w:tbl>
    <w:p w14:paraId="452220AD" w14:textId="77777777" w:rsidR="003173CA" w:rsidRPr="003173CA" w:rsidRDefault="003173CA" w:rsidP="003173CA">
      <w:pPr>
        <w:ind w:left="284"/>
        <w:jc w:val="both"/>
        <w:rPr>
          <w:rFonts w:asciiTheme="majorHAnsi" w:hAnsiTheme="majorHAnsi"/>
        </w:rPr>
      </w:pPr>
    </w:p>
    <w:p w14:paraId="494C5B5F" w14:textId="77777777" w:rsidR="003173CA" w:rsidRPr="002118CD" w:rsidRDefault="003173CA" w:rsidP="0005509D">
      <w:pPr>
        <w:jc w:val="both"/>
        <w:rPr>
          <w:rFonts w:asciiTheme="majorHAnsi" w:hAnsiTheme="majorHAnsi"/>
        </w:rPr>
      </w:pPr>
      <w:r w:rsidRPr="00353CAD">
        <w:rPr>
          <w:rFonts w:asciiTheme="majorHAnsi" w:hAnsiTheme="majorHAnsi"/>
          <w:b/>
          <w:bCs/>
        </w:rPr>
        <w:t xml:space="preserve">Agenda Item </w:t>
      </w:r>
      <w:r w:rsidR="0005509D">
        <w:rPr>
          <w:rFonts w:asciiTheme="majorHAnsi" w:hAnsiTheme="majorHAnsi"/>
          <w:b/>
          <w:bCs/>
        </w:rPr>
        <w:t>3</w:t>
      </w:r>
      <w:r w:rsidRPr="00353CAD">
        <w:rPr>
          <w:rFonts w:asciiTheme="majorHAnsi" w:hAnsiTheme="majorHAnsi"/>
          <w:b/>
          <w:bCs/>
        </w:rPr>
        <w:t xml:space="preserve">: </w:t>
      </w:r>
      <w:r>
        <w:rPr>
          <w:rFonts w:asciiTheme="majorHAnsi" w:hAnsiTheme="majorHAnsi"/>
          <w:b/>
          <w:bCs/>
        </w:rPr>
        <w:t>IASC Principals Meeting Debrief</w:t>
      </w:r>
    </w:p>
    <w:p w14:paraId="115A3324" w14:textId="77777777" w:rsidR="003173CA" w:rsidRPr="00A55593" w:rsidRDefault="003173CA" w:rsidP="003173CA">
      <w:pPr>
        <w:jc w:val="both"/>
        <w:rPr>
          <w:rFonts w:asciiTheme="majorHAnsi" w:hAnsiTheme="majorHAnsi"/>
        </w:rPr>
      </w:pPr>
      <w:r w:rsidRPr="00353CAD">
        <w:rPr>
          <w:rFonts w:asciiTheme="majorHAnsi" w:hAnsiTheme="majorHAnsi"/>
          <w:b/>
          <w:bCs/>
        </w:rPr>
        <w:t>Introduction</w:t>
      </w:r>
      <w:r>
        <w:rPr>
          <w:rFonts w:asciiTheme="majorHAnsi" w:hAnsiTheme="majorHAnsi"/>
          <w:b/>
          <w:bCs/>
        </w:rPr>
        <w:t xml:space="preserve"> (Co-chairs, WHO</w:t>
      </w:r>
      <w:r w:rsidRPr="00353CAD">
        <w:rPr>
          <w:rFonts w:asciiTheme="majorHAnsi" w:hAnsiTheme="majorHAnsi"/>
          <w:b/>
          <w:bCs/>
        </w:rPr>
        <w:t xml:space="preserve">): </w:t>
      </w:r>
      <w:r>
        <w:rPr>
          <w:rFonts w:asciiTheme="majorHAnsi" w:hAnsiTheme="majorHAnsi"/>
        </w:rPr>
        <w:t>The meeting held on December 4</w:t>
      </w:r>
      <w:r w:rsidRPr="003173CA">
        <w:rPr>
          <w:rFonts w:asciiTheme="majorHAnsi" w:hAnsiTheme="majorHAnsi"/>
          <w:vertAlign w:val="superscript"/>
        </w:rPr>
        <w:t>th</w:t>
      </w:r>
      <w:r>
        <w:rPr>
          <w:rFonts w:asciiTheme="majorHAnsi" w:hAnsiTheme="majorHAnsi"/>
        </w:rPr>
        <w:t xml:space="preserve"> and hosted by WHO was an interesting one, in that people felt that there was a new wave of energy. The meeting was the first for OCHA, WHO, and ICVA and the last for UNICEF, which contributed to the feeling of change. Of the four agenda items, two of them were </w:t>
      </w:r>
      <w:r w:rsidR="00333498">
        <w:rPr>
          <w:rFonts w:asciiTheme="majorHAnsi" w:hAnsiTheme="majorHAnsi"/>
        </w:rPr>
        <w:t>P</w:t>
      </w:r>
      <w:r>
        <w:rPr>
          <w:rFonts w:asciiTheme="majorHAnsi" w:hAnsiTheme="majorHAnsi"/>
        </w:rPr>
        <w:t>rincipal</w:t>
      </w:r>
      <w:r w:rsidR="00333498">
        <w:rPr>
          <w:rFonts w:asciiTheme="majorHAnsi" w:hAnsiTheme="majorHAnsi"/>
        </w:rPr>
        <w:t>s</w:t>
      </w:r>
      <w:r>
        <w:rPr>
          <w:rFonts w:asciiTheme="majorHAnsi" w:hAnsiTheme="majorHAnsi"/>
        </w:rPr>
        <w:t xml:space="preserve"> only. The agenda items included: the revision of the </w:t>
      </w:r>
      <w:proofErr w:type="spellStart"/>
      <w:r>
        <w:rPr>
          <w:rFonts w:asciiTheme="majorHAnsi" w:hAnsiTheme="majorHAnsi"/>
        </w:rPr>
        <w:t>L3</w:t>
      </w:r>
      <w:proofErr w:type="spellEnd"/>
      <w:r>
        <w:rPr>
          <w:rFonts w:asciiTheme="majorHAnsi" w:hAnsiTheme="majorHAnsi"/>
        </w:rPr>
        <w:t xml:space="preserve"> process, </w:t>
      </w:r>
      <w:r w:rsidRPr="00B91CF8">
        <w:rPr>
          <w:rFonts w:asciiTheme="majorHAnsi" w:hAnsiTheme="majorHAnsi"/>
        </w:rPr>
        <w:t>re</w:t>
      </w:r>
      <w:r w:rsidR="00B91CF8" w:rsidRPr="00B91CF8">
        <w:rPr>
          <w:rFonts w:asciiTheme="majorHAnsi" w:hAnsiTheme="majorHAnsi"/>
        </w:rPr>
        <w:t xml:space="preserve">-visioning </w:t>
      </w:r>
      <w:r>
        <w:rPr>
          <w:rFonts w:asciiTheme="majorHAnsi" w:hAnsiTheme="majorHAnsi"/>
        </w:rPr>
        <w:t xml:space="preserve">humanitarian financing; a simulation exercise on </w:t>
      </w:r>
      <w:proofErr w:type="spellStart"/>
      <w:r>
        <w:rPr>
          <w:rFonts w:asciiTheme="majorHAnsi" w:hAnsiTheme="majorHAnsi"/>
        </w:rPr>
        <w:t>L3</w:t>
      </w:r>
      <w:proofErr w:type="spellEnd"/>
      <w:r>
        <w:rPr>
          <w:rFonts w:asciiTheme="majorHAnsi" w:hAnsiTheme="majorHAnsi"/>
        </w:rPr>
        <w:t xml:space="preserve"> activation for </w:t>
      </w:r>
      <w:r>
        <w:rPr>
          <w:rFonts w:asciiTheme="majorHAnsi" w:hAnsiTheme="majorHAnsi"/>
        </w:rPr>
        <w:lastRenderedPageBreak/>
        <w:t xml:space="preserve">epidemics and lastly reviewing the structures </w:t>
      </w:r>
      <w:r w:rsidR="00333498">
        <w:rPr>
          <w:rFonts w:asciiTheme="majorHAnsi" w:hAnsiTheme="majorHAnsi"/>
        </w:rPr>
        <w:t xml:space="preserve">of the IASC </w:t>
      </w:r>
      <w:r>
        <w:rPr>
          <w:rFonts w:asciiTheme="majorHAnsi" w:hAnsiTheme="majorHAnsi"/>
        </w:rPr>
        <w:t>below the principals.</w:t>
      </w:r>
      <w:r w:rsidR="006F6A1D">
        <w:rPr>
          <w:rFonts w:asciiTheme="majorHAnsi" w:hAnsiTheme="majorHAnsi"/>
        </w:rPr>
        <w:t xml:space="preserve"> This last agenda item included the creation of the </w:t>
      </w:r>
      <w:r w:rsidR="00333498">
        <w:rPr>
          <w:rFonts w:asciiTheme="majorHAnsi" w:hAnsiTheme="majorHAnsi"/>
        </w:rPr>
        <w:t xml:space="preserve">suggested </w:t>
      </w:r>
      <w:r w:rsidR="006F6A1D">
        <w:rPr>
          <w:rFonts w:asciiTheme="majorHAnsi" w:hAnsiTheme="majorHAnsi"/>
        </w:rPr>
        <w:t>Deputies Forum.</w:t>
      </w:r>
    </w:p>
    <w:p w14:paraId="4C68A792" w14:textId="77777777" w:rsidR="003173CA" w:rsidRDefault="0005509D" w:rsidP="0005509D">
      <w:pPr>
        <w:ind w:left="720"/>
        <w:jc w:val="both"/>
        <w:rPr>
          <w:rFonts w:asciiTheme="majorHAnsi" w:hAnsiTheme="majorHAnsi"/>
        </w:rPr>
      </w:pPr>
      <w:r>
        <w:rPr>
          <w:rFonts w:asciiTheme="majorHAnsi" w:hAnsiTheme="majorHAnsi"/>
          <w:b/>
          <w:bCs/>
        </w:rPr>
        <w:t>InterAction</w:t>
      </w:r>
      <w:r w:rsidR="003173CA" w:rsidRPr="00353CAD">
        <w:rPr>
          <w:rFonts w:asciiTheme="majorHAnsi" w:hAnsiTheme="majorHAnsi"/>
          <w:b/>
          <w:bCs/>
        </w:rPr>
        <w:t xml:space="preserve">: </w:t>
      </w:r>
      <w:r>
        <w:rPr>
          <w:rFonts w:asciiTheme="majorHAnsi" w:hAnsiTheme="majorHAnsi"/>
        </w:rPr>
        <w:t xml:space="preserve">point of clarification: the intention for a new </w:t>
      </w:r>
      <w:proofErr w:type="spellStart"/>
      <w:r>
        <w:rPr>
          <w:rFonts w:asciiTheme="majorHAnsi" w:hAnsiTheme="majorHAnsi"/>
        </w:rPr>
        <w:t>L3</w:t>
      </w:r>
      <w:proofErr w:type="spellEnd"/>
      <w:r>
        <w:rPr>
          <w:rFonts w:asciiTheme="majorHAnsi" w:hAnsiTheme="majorHAnsi"/>
        </w:rPr>
        <w:t xml:space="preserve"> system is two-fold. One is to generate a system wide scale up; while the other to instigate the external profile of the crises for donors.</w:t>
      </w:r>
    </w:p>
    <w:p w14:paraId="65F16E6B" w14:textId="77777777" w:rsidR="0005509D" w:rsidRDefault="0005509D" w:rsidP="0005509D">
      <w:pPr>
        <w:ind w:left="1440"/>
        <w:jc w:val="both"/>
        <w:rPr>
          <w:rFonts w:asciiTheme="majorHAnsi" w:hAnsiTheme="majorHAnsi"/>
        </w:rPr>
      </w:pPr>
      <w:r>
        <w:rPr>
          <w:rFonts w:asciiTheme="majorHAnsi" w:hAnsiTheme="majorHAnsi"/>
          <w:b/>
          <w:bCs/>
        </w:rPr>
        <w:t xml:space="preserve">IASC Sec: </w:t>
      </w:r>
      <w:r>
        <w:rPr>
          <w:rFonts w:asciiTheme="majorHAnsi" w:hAnsiTheme="majorHAnsi"/>
        </w:rPr>
        <w:t xml:space="preserve">OCHA and EDG will be taking this work forward. They will come up with an early draft followed by a </w:t>
      </w:r>
      <w:r w:rsidR="00333498">
        <w:rPr>
          <w:rFonts w:asciiTheme="majorHAnsi" w:hAnsiTheme="majorHAnsi"/>
        </w:rPr>
        <w:t>large-scale</w:t>
      </w:r>
      <w:r>
        <w:rPr>
          <w:rFonts w:asciiTheme="majorHAnsi" w:hAnsiTheme="majorHAnsi"/>
        </w:rPr>
        <w:t xml:space="preserve"> consultation including NGOs.</w:t>
      </w:r>
    </w:p>
    <w:p w14:paraId="7A25EBAA" w14:textId="77777777" w:rsidR="00D20971" w:rsidRDefault="0005509D" w:rsidP="00D20971">
      <w:pPr>
        <w:ind w:left="720"/>
        <w:jc w:val="both"/>
        <w:rPr>
          <w:rFonts w:asciiTheme="majorHAnsi" w:hAnsiTheme="majorHAnsi"/>
        </w:rPr>
      </w:pPr>
      <w:r>
        <w:rPr>
          <w:rFonts w:asciiTheme="majorHAnsi" w:hAnsiTheme="majorHAnsi"/>
          <w:b/>
          <w:bCs/>
        </w:rPr>
        <w:t>ICVA:</w:t>
      </w:r>
      <w:r>
        <w:rPr>
          <w:rFonts w:asciiTheme="majorHAnsi" w:hAnsiTheme="majorHAnsi"/>
        </w:rPr>
        <w:t xml:space="preserve"> point of inquiry: as to why the subsidiary body review was sent directly to the Deputies instead of the Working Group who commissioned the study in the first instance</w:t>
      </w:r>
      <w:r w:rsidR="00333498">
        <w:rPr>
          <w:rFonts w:asciiTheme="majorHAnsi" w:hAnsiTheme="majorHAnsi"/>
        </w:rPr>
        <w:t>?</w:t>
      </w:r>
    </w:p>
    <w:p w14:paraId="1BCECF12" w14:textId="77777777" w:rsidR="0005509D" w:rsidRPr="00D20971" w:rsidRDefault="0005509D" w:rsidP="00D20971">
      <w:pPr>
        <w:ind w:left="1440"/>
        <w:jc w:val="both"/>
        <w:rPr>
          <w:rFonts w:asciiTheme="majorHAnsi" w:hAnsiTheme="majorHAnsi"/>
        </w:rPr>
      </w:pPr>
      <w:r>
        <w:rPr>
          <w:rFonts w:asciiTheme="majorHAnsi" w:hAnsiTheme="majorHAnsi"/>
          <w:b/>
          <w:bCs/>
        </w:rPr>
        <w:t xml:space="preserve">IASC Secretariat: </w:t>
      </w:r>
      <w:r w:rsidRPr="0005509D">
        <w:rPr>
          <w:rFonts w:asciiTheme="majorHAnsi" w:hAnsiTheme="majorHAnsi"/>
        </w:rPr>
        <w:t>This issue was discussed briefly during the focal points. It is not clear to what degree of specificity the Deputies want from the subsidiary bodies review. At this time, the results have been shared for information purpose and not for decision making or endorsement per se.</w:t>
      </w:r>
    </w:p>
    <w:p w14:paraId="67EAB82F" w14:textId="77777777" w:rsidR="0005509D" w:rsidRPr="002118CD" w:rsidRDefault="0005509D" w:rsidP="0005509D">
      <w:pPr>
        <w:jc w:val="both"/>
        <w:rPr>
          <w:rFonts w:asciiTheme="majorHAnsi" w:hAnsiTheme="majorHAnsi"/>
        </w:rPr>
      </w:pPr>
      <w:r w:rsidRPr="00353CAD">
        <w:rPr>
          <w:rFonts w:asciiTheme="majorHAnsi" w:hAnsiTheme="majorHAnsi"/>
          <w:b/>
          <w:bCs/>
        </w:rPr>
        <w:t xml:space="preserve">Agenda Item </w:t>
      </w:r>
      <w:r>
        <w:rPr>
          <w:rFonts w:asciiTheme="majorHAnsi" w:hAnsiTheme="majorHAnsi"/>
          <w:b/>
          <w:bCs/>
        </w:rPr>
        <w:t>4</w:t>
      </w:r>
      <w:r w:rsidRPr="00353CAD">
        <w:rPr>
          <w:rFonts w:asciiTheme="majorHAnsi" w:hAnsiTheme="majorHAnsi"/>
          <w:b/>
          <w:bCs/>
        </w:rPr>
        <w:t xml:space="preserve">: </w:t>
      </w:r>
      <w:r>
        <w:rPr>
          <w:rFonts w:asciiTheme="majorHAnsi" w:hAnsiTheme="majorHAnsi"/>
          <w:b/>
          <w:bCs/>
        </w:rPr>
        <w:t>HFTT Retreat</w:t>
      </w:r>
    </w:p>
    <w:p w14:paraId="32A8CA54" w14:textId="77777777" w:rsidR="0005509D" w:rsidRPr="00A55593" w:rsidRDefault="0005509D" w:rsidP="0005509D">
      <w:pPr>
        <w:jc w:val="both"/>
        <w:rPr>
          <w:rFonts w:asciiTheme="majorHAnsi" w:hAnsiTheme="majorHAnsi"/>
        </w:rPr>
      </w:pPr>
      <w:r w:rsidRPr="00353CAD">
        <w:rPr>
          <w:rFonts w:asciiTheme="majorHAnsi" w:hAnsiTheme="majorHAnsi"/>
          <w:b/>
          <w:bCs/>
        </w:rPr>
        <w:t>Introduction</w:t>
      </w:r>
      <w:r>
        <w:rPr>
          <w:rFonts w:asciiTheme="majorHAnsi" w:hAnsiTheme="majorHAnsi"/>
          <w:b/>
          <w:bCs/>
        </w:rPr>
        <w:t xml:space="preserve"> (Co-chairs, UNDP</w:t>
      </w:r>
      <w:r w:rsidRPr="00353CAD">
        <w:rPr>
          <w:rFonts w:asciiTheme="majorHAnsi" w:hAnsiTheme="majorHAnsi"/>
          <w:b/>
          <w:bCs/>
        </w:rPr>
        <w:t xml:space="preserve">): </w:t>
      </w:r>
      <w:r>
        <w:rPr>
          <w:rFonts w:asciiTheme="majorHAnsi" w:hAnsiTheme="majorHAnsi"/>
        </w:rPr>
        <w:t xml:space="preserve">The HDN TT co-chairs were invited to participate in the annual workshop of the Humanitarian </w:t>
      </w:r>
      <w:r w:rsidR="00333498">
        <w:rPr>
          <w:rFonts w:asciiTheme="majorHAnsi" w:hAnsiTheme="majorHAnsi"/>
        </w:rPr>
        <w:t>F</w:t>
      </w:r>
      <w:r>
        <w:rPr>
          <w:rFonts w:asciiTheme="majorHAnsi" w:hAnsiTheme="majorHAnsi"/>
        </w:rPr>
        <w:t>inancing TT, given the fact that both TT’s have points and workstreams of common concern and convergence. FAO (Rodrigue) has kindly agreed to debrief the TT on this topic:</w:t>
      </w:r>
    </w:p>
    <w:p w14:paraId="1066B789" w14:textId="77777777" w:rsidR="0005509D" w:rsidRPr="0005509D" w:rsidRDefault="0005509D" w:rsidP="0005509D">
      <w:pPr>
        <w:ind w:left="720"/>
        <w:jc w:val="both"/>
        <w:rPr>
          <w:rFonts w:asciiTheme="majorHAnsi" w:hAnsiTheme="majorHAnsi"/>
        </w:rPr>
      </w:pPr>
      <w:r>
        <w:rPr>
          <w:rFonts w:asciiTheme="majorHAnsi" w:hAnsiTheme="majorHAnsi"/>
          <w:b/>
          <w:bCs/>
        </w:rPr>
        <w:t>FAO</w:t>
      </w:r>
      <w:r w:rsidRPr="00353CAD">
        <w:rPr>
          <w:rFonts w:asciiTheme="majorHAnsi" w:hAnsiTheme="majorHAnsi"/>
          <w:b/>
          <w:bCs/>
        </w:rPr>
        <w:t xml:space="preserve">: </w:t>
      </w:r>
      <w:r>
        <w:rPr>
          <w:rFonts w:asciiTheme="majorHAnsi" w:hAnsiTheme="majorHAnsi"/>
        </w:rPr>
        <w:t>There was an agreement that the HF TT in collaboration with the HDN TT, through FAO, UNDP, and W</w:t>
      </w:r>
      <w:r w:rsidR="00A013A2">
        <w:rPr>
          <w:rFonts w:asciiTheme="majorHAnsi" w:hAnsiTheme="majorHAnsi"/>
        </w:rPr>
        <w:t>B would work towards one common output in the HF TT workplan: “</w:t>
      </w:r>
      <w:r w:rsidRPr="0005509D">
        <w:rPr>
          <w:rFonts w:asciiTheme="majorHAnsi" w:hAnsiTheme="majorHAnsi"/>
        </w:rPr>
        <w:t>Contribute to aid effectiveness by strengthening humanitarian-development collaboration in particular in fragile contexts and protracted crises</w:t>
      </w:r>
      <w:r w:rsidR="00A013A2">
        <w:rPr>
          <w:rFonts w:asciiTheme="majorHAnsi" w:hAnsiTheme="majorHAnsi"/>
        </w:rPr>
        <w:t xml:space="preserve">”. This output includes, 2 sub outputs; namely: </w:t>
      </w:r>
    </w:p>
    <w:p w14:paraId="4F9BAD07" w14:textId="77777777" w:rsidR="0005509D" w:rsidRPr="0005509D" w:rsidRDefault="0005509D" w:rsidP="00A013A2">
      <w:pPr>
        <w:ind w:left="1440"/>
        <w:jc w:val="both"/>
        <w:rPr>
          <w:rFonts w:asciiTheme="majorHAnsi" w:hAnsiTheme="majorHAnsi"/>
        </w:rPr>
      </w:pPr>
      <w:r w:rsidRPr="0005509D">
        <w:rPr>
          <w:rFonts w:asciiTheme="majorHAnsi" w:hAnsiTheme="majorHAnsi"/>
        </w:rPr>
        <w:t>Sub-output 3.1: Understand and address financial fragmentation and gaps in contexts of fragility, conflict and violence. (In collaboration with OECD and MPTFO – to be confirmed)</w:t>
      </w:r>
    </w:p>
    <w:p w14:paraId="2249D078" w14:textId="77777777" w:rsidR="0005509D" w:rsidRPr="0005509D" w:rsidRDefault="0005509D" w:rsidP="00A013A2">
      <w:pPr>
        <w:ind w:left="2160"/>
        <w:jc w:val="both"/>
        <w:rPr>
          <w:rFonts w:asciiTheme="majorHAnsi" w:hAnsiTheme="majorHAnsi"/>
        </w:rPr>
      </w:pPr>
      <w:r w:rsidRPr="0005509D">
        <w:rPr>
          <w:rFonts w:asciiTheme="majorHAnsi" w:hAnsiTheme="majorHAnsi"/>
        </w:rPr>
        <w:t xml:space="preserve">Activity 3.1.1: Field level Surge Support: produce mapping of financial flows and pooled fund mechanisms in-country upon request from UNCT/HCTs. [aligned with 2.4, 4.1 in </w:t>
      </w:r>
      <w:proofErr w:type="spellStart"/>
      <w:r w:rsidRPr="0005509D">
        <w:rPr>
          <w:rFonts w:asciiTheme="majorHAnsi" w:hAnsiTheme="majorHAnsi"/>
        </w:rPr>
        <w:t>JPoA</w:t>
      </w:r>
      <w:proofErr w:type="spellEnd"/>
      <w:r w:rsidRPr="0005509D">
        <w:rPr>
          <w:rFonts w:asciiTheme="majorHAnsi" w:hAnsiTheme="majorHAnsi"/>
        </w:rPr>
        <w:t xml:space="preserve">/ 3.1 in HDN TT] </w:t>
      </w:r>
    </w:p>
    <w:p w14:paraId="04CF46CB" w14:textId="77777777" w:rsidR="0005509D" w:rsidRPr="0005509D" w:rsidRDefault="0005509D" w:rsidP="00A013A2">
      <w:pPr>
        <w:ind w:left="2160"/>
        <w:jc w:val="both"/>
        <w:rPr>
          <w:rFonts w:asciiTheme="majorHAnsi" w:hAnsiTheme="majorHAnsi"/>
        </w:rPr>
      </w:pPr>
      <w:r w:rsidRPr="0005509D">
        <w:rPr>
          <w:rFonts w:asciiTheme="majorHAnsi" w:hAnsiTheme="majorHAnsi"/>
        </w:rPr>
        <w:t xml:space="preserve">Activity 3.1.2:  Menu of Financial Flows: Produce mapping and quick scenario-based guide on resources both human and financial resources available to the field. [aligned with 2.3, 4.2 in </w:t>
      </w:r>
      <w:proofErr w:type="spellStart"/>
      <w:r w:rsidRPr="0005509D">
        <w:rPr>
          <w:rFonts w:asciiTheme="majorHAnsi" w:hAnsiTheme="majorHAnsi"/>
        </w:rPr>
        <w:t>JPoA</w:t>
      </w:r>
      <w:proofErr w:type="spellEnd"/>
      <w:r w:rsidRPr="0005509D">
        <w:rPr>
          <w:rFonts w:asciiTheme="majorHAnsi" w:hAnsiTheme="majorHAnsi"/>
        </w:rPr>
        <w:t>/ 1.4 in HDN TT]</w:t>
      </w:r>
    </w:p>
    <w:p w14:paraId="1EDB79E5" w14:textId="77777777" w:rsidR="0005509D" w:rsidRPr="0005509D" w:rsidRDefault="0005509D" w:rsidP="00A013A2">
      <w:pPr>
        <w:ind w:left="1440"/>
        <w:jc w:val="both"/>
        <w:rPr>
          <w:rFonts w:asciiTheme="majorHAnsi" w:hAnsiTheme="majorHAnsi"/>
        </w:rPr>
      </w:pPr>
      <w:r w:rsidRPr="0005509D">
        <w:rPr>
          <w:rFonts w:asciiTheme="majorHAnsi" w:hAnsiTheme="majorHAnsi"/>
        </w:rPr>
        <w:t xml:space="preserve">Sub-output 3.2: Shape and contribute to a common understanding among humanitarian and development actors to widen to financing base. </w:t>
      </w:r>
    </w:p>
    <w:p w14:paraId="64DFF6BE" w14:textId="77777777" w:rsidR="0005509D" w:rsidRDefault="0005509D" w:rsidP="00A013A2">
      <w:pPr>
        <w:ind w:left="2160"/>
        <w:jc w:val="both"/>
        <w:rPr>
          <w:rFonts w:asciiTheme="majorHAnsi" w:hAnsiTheme="majorHAnsi"/>
        </w:rPr>
      </w:pPr>
      <w:r w:rsidRPr="0005509D">
        <w:rPr>
          <w:rFonts w:asciiTheme="majorHAnsi" w:hAnsiTheme="majorHAnsi"/>
        </w:rPr>
        <w:t>Activity 3.2.1: Collaboration with HDN TT: Develop system wide recommendations to strengthen IASC response in protracted situations [aligned with 2.5 in HDN TT]</w:t>
      </w:r>
    </w:p>
    <w:p w14:paraId="7F09CBD5" w14:textId="77777777" w:rsidR="00A013A2" w:rsidRPr="00A013A2" w:rsidRDefault="00A013A2" w:rsidP="00A013A2">
      <w:pPr>
        <w:ind w:left="2160"/>
        <w:jc w:val="both"/>
        <w:rPr>
          <w:rFonts w:asciiTheme="majorHAnsi" w:hAnsiTheme="majorHAnsi"/>
        </w:rPr>
      </w:pPr>
      <w:r w:rsidRPr="00A013A2">
        <w:rPr>
          <w:rFonts w:asciiTheme="majorHAnsi" w:hAnsiTheme="majorHAnsi"/>
        </w:rPr>
        <w:lastRenderedPageBreak/>
        <w:t>Activity 3.2.2: Collaboration with HDN TT: Produce 2/3 pager on blending and leveraging in-country financial flows to support joint humanitarian-development planning and programming [aligned with 1.5 in HDN TT]</w:t>
      </w:r>
    </w:p>
    <w:p w14:paraId="35DDB167" w14:textId="77777777" w:rsidR="00A013A2" w:rsidRPr="0005509D" w:rsidRDefault="00A013A2" w:rsidP="00A013A2">
      <w:pPr>
        <w:ind w:left="2160"/>
        <w:jc w:val="both"/>
        <w:rPr>
          <w:rFonts w:asciiTheme="majorHAnsi" w:hAnsiTheme="majorHAnsi"/>
        </w:rPr>
      </w:pPr>
      <w:r w:rsidRPr="00A013A2">
        <w:rPr>
          <w:rFonts w:asciiTheme="majorHAnsi" w:hAnsiTheme="majorHAnsi"/>
        </w:rPr>
        <w:t>Activity 3.2.3: Outreach and advocacy events: Share findings and contribute to better humanitarian/development collaboration.</w:t>
      </w:r>
    </w:p>
    <w:p w14:paraId="14EB7C2F" w14:textId="77777777" w:rsidR="0005509D" w:rsidRDefault="00A013A2" w:rsidP="0005509D">
      <w:pPr>
        <w:ind w:left="720"/>
        <w:jc w:val="both"/>
        <w:rPr>
          <w:rFonts w:asciiTheme="majorHAnsi" w:hAnsiTheme="majorHAnsi"/>
        </w:rPr>
      </w:pPr>
      <w:r w:rsidRPr="00A013A2">
        <w:rPr>
          <w:rFonts w:asciiTheme="majorHAnsi" w:hAnsiTheme="majorHAnsi"/>
          <w:b/>
          <w:bCs/>
        </w:rPr>
        <w:t>ICVA</w:t>
      </w:r>
      <w:r>
        <w:rPr>
          <w:rFonts w:asciiTheme="majorHAnsi" w:hAnsiTheme="majorHAnsi"/>
        </w:rPr>
        <w:t>: Nothing more to add beyond deep appreciation for the HDN TT co-chairs’ presence and contribution to the HFTT workstream.</w:t>
      </w:r>
    </w:p>
    <w:p w14:paraId="2907E0A8" w14:textId="77777777" w:rsidR="003F71DD" w:rsidRDefault="003F71DD" w:rsidP="003F71DD">
      <w:pPr>
        <w:jc w:val="both"/>
        <w:rPr>
          <w:rFonts w:asciiTheme="majorHAnsi" w:hAnsiTheme="majorHAnsi"/>
          <w:b/>
          <w:bCs/>
        </w:rPr>
      </w:pPr>
      <w:r w:rsidRPr="00353CAD">
        <w:rPr>
          <w:rFonts w:asciiTheme="majorHAnsi" w:hAnsiTheme="majorHAnsi"/>
          <w:b/>
          <w:bCs/>
        </w:rPr>
        <w:t xml:space="preserve">Agenda Item </w:t>
      </w:r>
      <w:r>
        <w:rPr>
          <w:rFonts w:asciiTheme="majorHAnsi" w:hAnsiTheme="majorHAnsi"/>
          <w:b/>
          <w:bCs/>
        </w:rPr>
        <w:t>5: Capacity Building Project</w:t>
      </w:r>
    </w:p>
    <w:p w14:paraId="2E424EBF" w14:textId="77777777" w:rsidR="003F71DD" w:rsidRDefault="003F71DD" w:rsidP="007E166C">
      <w:pPr>
        <w:ind w:left="720"/>
        <w:jc w:val="both"/>
        <w:rPr>
          <w:rFonts w:asciiTheme="majorHAnsi" w:hAnsiTheme="majorHAnsi"/>
        </w:rPr>
      </w:pPr>
      <w:r>
        <w:rPr>
          <w:rFonts w:asciiTheme="majorHAnsi" w:hAnsiTheme="majorHAnsi"/>
          <w:b/>
          <w:bCs/>
        </w:rPr>
        <w:t xml:space="preserve">UNDP:  </w:t>
      </w:r>
      <w:r w:rsidR="007E166C">
        <w:rPr>
          <w:rFonts w:asciiTheme="majorHAnsi" w:hAnsiTheme="majorHAnsi"/>
        </w:rPr>
        <w:t>UNDP</w:t>
      </w:r>
      <w:r w:rsidR="00D20971">
        <w:rPr>
          <w:rFonts w:asciiTheme="majorHAnsi" w:hAnsiTheme="majorHAnsi"/>
        </w:rPr>
        <w:t xml:space="preserve"> has noted a growing interest</w:t>
      </w:r>
      <w:r w:rsidR="007E166C">
        <w:rPr>
          <w:rFonts w:asciiTheme="majorHAnsi" w:hAnsiTheme="majorHAnsi"/>
        </w:rPr>
        <w:t xml:space="preserve"> both within and outside of the UN for predictable and deployable capacity for Humanitarian-Development (and peacebuilding) advisors. In light of this growing demand, a project has been commissioned by UNDP to understand and connect the totality of workstreams that are working on similar projects. The project known as the </w:t>
      </w:r>
      <w:r w:rsidR="007E166C">
        <w:rPr>
          <w:rFonts w:asciiTheme="majorHAnsi" w:hAnsiTheme="majorHAnsi"/>
          <w:u w:val="single"/>
        </w:rPr>
        <w:t>people pipeline</w:t>
      </w:r>
      <w:r w:rsidR="007E166C">
        <w:rPr>
          <w:rFonts w:asciiTheme="majorHAnsi" w:hAnsiTheme="majorHAnsi"/>
        </w:rPr>
        <w:t xml:space="preserve"> is essentially a mapping to understand the profiles and skills needed to develop a new cadre of deployable capacity that are conversant in all three </w:t>
      </w:r>
      <w:r w:rsidR="00B91CF8">
        <w:rPr>
          <w:rFonts w:asciiTheme="majorHAnsi" w:hAnsiTheme="majorHAnsi"/>
        </w:rPr>
        <w:t>sectors of work, e.g. humanitarian, development and peacebuilding</w:t>
      </w:r>
      <w:r w:rsidR="007E166C">
        <w:rPr>
          <w:rFonts w:asciiTheme="majorHAnsi" w:hAnsiTheme="majorHAnsi"/>
        </w:rPr>
        <w:t>.</w:t>
      </w:r>
    </w:p>
    <w:p w14:paraId="40D3B454" w14:textId="77777777" w:rsidR="007E166C" w:rsidRDefault="007E166C" w:rsidP="007E166C">
      <w:pPr>
        <w:jc w:val="both"/>
        <w:rPr>
          <w:rFonts w:asciiTheme="majorHAnsi" w:hAnsiTheme="majorHAnsi"/>
          <w:b/>
          <w:bCs/>
        </w:rPr>
      </w:pPr>
      <w:r w:rsidRPr="00353CAD">
        <w:rPr>
          <w:rFonts w:asciiTheme="majorHAnsi" w:hAnsiTheme="majorHAnsi"/>
          <w:b/>
          <w:bCs/>
        </w:rPr>
        <w:t xml:space="preserve">Agenda Item </w:t>
      </w:r>
      <w:r>
        <w:rPr>
          <w:rFonts w:asciiTheme="majorHAnsi" w:hAnsiTheme="majorHAnsi"/>
          <w:b/>
          <w:bCs/>
        </w:rPr>
        <w:t>6: Collective Outcome Project</w:t>
      </w:r>
    </w:p>
    <w:p w14:paraId="14B9C42C" w14:textId="77777777" w:rsidR="007E166C" w:rsidRDefault="007E166C" w:rsidP="00D20971">
      <w:pPr>
        <w:ind w:left="720"/>
        <w:jc w:val="both"/>
        <w:rPr>
          <w:rFonts w:asciiTheme="majorHAnsi" w:hAnsiTheme="majorHAnsi"/>
        </w:rPr>
      </w:pPr>
      <w:r>
        <w:rPr>
          <w:rFonts w:asciiTheme="majorHAnsi" w:hAnsiTheme="majorHAnsi"/>
          <w:b/>
          <w:bCs/>
        </w:rPr>
        <w:t xml:space="preserve">WHO: </w:t>
      </w:r>
      <w:r w:rsidRPr="007E166C">
        <w:rPr>
          <w:rFonts w:asciiTheme="majorHAnsi" w:hAnsiTheme="majorHAnsi"/>
        </w:rPr>
        <w:t>To inform the work of the HDN TT in advancing a common understanding of elements of the human</w:t>
      </w:r>
      <w:r>
        <w:rPr>
          <w:rFonts w:asciiTheme="majorHAnsi" w:hAnsiTheme="majorHAnsi"/>
        </w:rPr>
        <w:t xml:space="preserve">itarian and development nexus, a consulting firm </w:t>
      </w:r>
      <w:r w:rsidRPr="007E166C">
        <w:rPr>
          <w:rFonts w:asciiTheme="majorHAnsi" w:hAnsiTheme="majorHAnsi"/>
        </w:rPr>
        <w:t xml:space="preserve">has been researching the ways the term “collective outcomes" (CO) has been used since 2015, and the extent to which the CO concept has guided evolving </w:t>
      </w:r>
      <w:proofErr w:type="gramStart"/>
      <w:r w:rsidRPr="007E166C">
        <w:rPr>
          <w:rFonts w:asciiTheme="majorHAnsi" w:hAnsiTheme="majorHAnsi"/>
        </w:rPr>
        <w:t>practice.</w:t>
      </w:r>
      <w:proofErr w:type="gramEnd"/>
      <w:r w:rsidRPr="007E166C">
        <w:rPr>
          <w:rFonts w:asciiTheme="majorHAnsi" w:hAnsiTheme="majorHAnsi"/>
        </w:rPr>
        <w:t xml:space="preserve"> The research also aims to learn from the ongoing collective outcome processes happening in the field in different countries and contexts.</w:t>
      </w:r>
      <w:r>
        <w:rPr>
          <w:rFonts w:asciiTheme="majorHAnsi" w:hAnsiTheme="majorHAnsi"/>
        </w:rPr>
        <w:t xml:space="preserve"> </w:t>
      </w:r>
      <w:r w:rsidR="00D20971">
        <w:rPr>
          <w:rFonts w:asciiTheme="majorHAnsi" w:hAnsiTheme="majorHAnsi"/>
        </w:rPr>
        <w:t>The project will be phased. The first phase is complete and consisted of a desk review of over 50 documents. This desk review provided a working definition with which the consultants will triangulate through interviews and survey, focusing on three sectors, health, displacement, and food security (phase II). Consultants request</w:t>
      </w:r>
      <w:r w:rsidR="00333498">
        <w:rPr>
          <w:rFonts w:asciiTheme="majorHAnsi" w:hAnsiTheme="majorHAnsi"/>
        </w:rPr>
        <w:t>ed</w:t>
      </w:r>
      <w:r w:rsidR="00D20971">
        <w:rPr>
          <w:rFonts w:asciiTheme="majorHAnsi" w:hAnsiTheme="majorHAnsi"/>
        </w:rPr>
        <w:t xml:space="preserve"> that the TT contribute to the survey, to which there was no objection.</w:t>
      </w:r>
    </w:p>
    <w:p w14:paraId="35A794AA" w14:textId="77777777" w:rsidR="000925E6" w:rsidRPr="000925E6" w:rsidRDefault="000925E6" w:rsidP="000925E6">
      <w:pPr>
        <w:ind w:left="1440"/>
        <w:jc w:val="both"/>
        <w:rPr>
          <w:rFonts w:asciiTheme="majorHAnsi" w:hAnsiTheme="majorHAnsi"/>
        </w:rPr>
      </w:pPr>
      <w:r>
        <w:rPr>
          <w:rFonts w:asciiTheme="majorHAnsi" w:hAnsiTheme="majorHAnsi"/>
          <w:b/>
          <w:bCs/>
        </w:rPr>
        <w:t xml:space="preserve">OCHA: </w:t>
      </w:r>
      <w:r>
        <w:rPr>
          <w:rFonts w:asciiTheme="majorHAnsi" w:hAnsiTheme="majorHAnsi"/>
        </w:rPr>
        <w:t>unclear as to the purpose of the project given that the definition of collective outcomes is articulated in the commitment to action.</w:t>
      </w:r>
    </w:p>
    <w:p w14:paraId="78FF1EF0" w14:textId="77777777" w:rsidR="000925E6" w:rsidRPr="000925E6" w:rsidRDefault="000925E6" w:rsidP="00D20971">
      <w:pPr>
        <w:ind w:left="1440"/>
        <w:jc w:val="both"/>
        <w:rPr>
          <w:rFonts w:asciiTheme="majorHAnsi" w:hAnsiTheme="majorHAnsi"/>
        </w:rPr>
      </w:pPr>
      <w:r>
        <w:rPr>
          <w:rFonts w:asciiTheme="majorHAnsi" w:hAnsiTheme="majorHAnsi"/>
          <w:b/>
          <w:bCs/>
        </w:rPr>
        <w:t xml:space="preserve">UNHCR: </w:t>
      </w:r>
      <w:r w:rsidR="00D20971">
        <w:rPr>
          <w:rFonts w:asciiTheme="majorHAnsi" w:hAnsiTheme="majorHAnsi"/>
        </w:rPr>
        <w:t>Welcome the project, but i</w:t>
      </w:r>
      <w:r>
        <w:rPr>
          <w:rFonts w:asciiTheme="majorHAnsi" w:hAnsiTheme="majorHAnsi"/>
        </w:rPr>
        <w:t xml:space="preserve">t is imperative that we properly sequence activities related to Collective Outcomes, otherwise we risk confusing field practitioners. The fact remains that there is considerable lack of clarity on the subject, as we heard from the peer network in Entebbe. </w:t>
      </w:r>
      <w:r w:rsidR="00D20971">
        <w:rPr>
          <w:rFonts w:asciiTheme="majorHAnsi" w:hAnsiTheme="majorHAnsi"/>
        </w:rPr>
        <w:t>UNH</w:t>
      </w:r>
      <w:r w:rsidR="00333498">
        <w:rPr>
          <w:rFonts w:asciiTheme="majorHAnsi" w:hAnsiTheme="majorHAnsi"/>
        </w:rPr>
        <w:t>C</w:t>
      </w:r>
      <w:r w:rsidR="00D20971">
        <w:rPr>
          <w:rFonts w:asciiTheme="majorHAnsi" w:hAnsiTheme="majorHAnsi"/>
        </w:rPr>
        <w:t xml:space="preserve">R, </w:t>
      </w:r>
      <w:r>
        <w:rPr>
          <w:rFonts w:asciiTheme="majorHAnsi" w:hAnsiTheme="majorHAnsi"/>
        </w:rPr>
        <w:t xml:space="preserve">will </w:t>
      </w:r>
      <w:r w:rsidR="00D20971">
        <w:rPr>
          <w:rFonts w:asciiTheme="majorHAnsi" w:hAnsiTheme="majorHAnsi"/>
        </w:rPr>
        <w:t>be exploring</w:t>
      </w:r>
      <w:r>
        <w:rPr>
          <w:rFonts w:asciiTheme="majorHAnsi" w:hAnsiTheme="majorHAnsi"/>
        </w:rPr>
        <w:t xml:space="preserve"> how best to provide g</w:t>
      </w:r>
      <w:r w:rsidR="00D20971">
        <w:rPr>
          <w:rFonts w:asciiTheme="majorHAnsi" w:hAnsiTheme="majorHAnsi"/>
        </w:rPr>
        <w:t>uidance to its field operations, and provide pointers of collective outcomes for forced displacement.</w:t>
      </w:r>
    </w:p>
    <w:p w14:paraId="6E52CD94" w14:textId="77777777" w:rsidR="007E166C" w:rsidRDefault="007E166C" w:rsidP="007E166C">
      <w:pPr>
        <w:jc w:val="both"/>
        <w:rPr>
          <w:rFonts w:asciiTheme="majorHAnsi" w:hAnsiTheme="majorHAnsi"/>
          <w:b/>
          <w:bCs/>
        </w:rPr>
      </w:pPr>
      <w:r w:rsidRPr="00353CAD">
        <w:rPr>
          <w:rFonts w:asciiTheme="majorHAnsi" w:hAnsiTheme="majorHAnsi"/>
          <w:b/>
          <w:bCs/>
        </w:rPr>
        <w:t xml:space="preserve">Agenda Item </w:t>
      </w:r>
      <w:r>
        <w:rPr>
          <w:rFonts w:asciiTheme="majorHAnsi" w:hAnsiTheme="majorHAnsi"/>
          <w:b/>
          <w:bCs/>
        </w:rPr>
        <w:t>7: Community of Practice</w:t>
      </w:r>
    </w:p>
    <w:p w14:paraId="79A59249" w14:textId="77777777" w:rsidR="007E166C" w:rsidRDefault="007E166C" w:rsidP="007E166C">
      <w:pPr>
        <w:ind w:left="720"/>
        <w:jc w:val="both"/>
        <w:rPr>
          <w:rFonts w:asciiTheme="majorHAnsi" w:hAnsiTheme="majorHAnsi"/>
        </w:rPr>
      </w:pPr>
      <w:r>
        <w:rPr>
          <w:rFonts w:asciiTheme="majorHAnsi" w:hAnsiTheme="majorHAnsi"/>
          <w:b/>
          <w:bCs/>
        </w:rPr>
        <w:t xml:space="preserve">WFP: </w:t>
      </w:r>
      <w:r w:rsidR="00780EFF">
        <w:rPr>
          <w:rFonts w:asciiTheme="majorHAnsi" w:hAnsiTheme="majorHAnsi"/>
        </w:rPr>
        <w:t xml:space="preserve">After the Entebbe workshop there was a strong demand from the participants to maintain a dialogue and to continue sharing updates of their respective country contexts. During the workshop an agenda item was dedicated to outlining what the terms of reference would be for an “HDN Community of Practice”. A set of priority activities were identified </w:t>
      </w:r>
      <w:r w:rsidR="00D20971">
        <w:rPr>
          <w:rFonts w:asciiTheme="majorHAnsi" w:hAnsiTheme="majorHAnsi"/>
        </w:rPr>
        <w:t>including</w:t>
      </w:r>
      <w:r w:rsidR="00780EFF">
        <w:rPr>
          <w:rFonts w:asciiTheme="majorHAnsi" w:hAnsiTheme="majorHAnsi"/>
        </w:rPr>
        <w:t xml:space="preserve">: peer support missions; shared calendars; and developing generic </w:t>
      </w:r>
      <w:r w:rsidR="00780EFF">
        <w:rPr>
          <w:rFonts w:asciiTheme="majorHAnsi" w:hAnsiTheme="majorHAnsi"/>
        </w:rPr>
        <w:lastRenderedPageBreak/>
        <w:t xml:space="preserve">terms of reference for key process elements of establishing a nexus in-country (including terms of reference/profile for an HDN advisor, and terms of reference for a small inter-agency advisory group. </w:t>
      </w:r>
      <w:r w:rsidR="00D20971">
        <w:rPr>
          <w:rFonts w:asciiTheme="majorHAnsi" w:hAnsiTheme="majorHAnsi"/>
        </w:rPr>
        <w:t>It</w:t>
      </w:r>
      <w:r w:rsidR="00780EFF">
        <w:rPr>
          <w:rFonts w:asciiTheme="majorHAnsi" w:hAnsiTheme="majorHAnsi"/>
        </w:rPr>
        <w:t xml:space="preserve"> was also agreed to continue discussion on a virtual platform. To this end, a Yammer has been established. </w:t>
      </w:r>
    </w:p>
    <w:p w14:paraId="5FE9ED88" w14:textId="77777777" w:rsidR="00780EFF" w:rsidRDefault="00780EFF" w:rsidP="007E166C">
      <w:pPr>
        <w:ind w:left="720"/>
        <w:jc w:val="both"/>
        <w:rPr>
          <w:rFonts w:asciiTheme="majorHAnsi" w:hAnsiTheme="majorHAnsi"/>
        </w:rPr>
      </w:pPr>
      <w:r>
        <w:rPr>
          <w:rFonts w:asciiTheme="majorHAnsi" w:hAnsiTheme="majorHAnsi"/>
          <w:b/>
          <w:bCs/>
        </w:rPr>
        <w:tab/>
        <w:t>DRC:</w:t>
      </w:r>
      <w:r>
        <w:rPr>
          <w:rFonts w:asciiTheme="majorHAnsi" w:hAnsiTheme="majorHAnsi"/>
        </w:rPr>
        <w:t xml:space="preserve"> is there a way to join the community of practice</w:t>
      </w:r>
      <w:r w:rsidR="00D20971">
        <w:rPr>
          <w:rFonts w:asciiTheme="majorHAnsi" w:hAnsiTheme="majorHAnsi"/>
        </w:rPr>
        <w:t>?</w:t>
      </w:r>
    </w:p>
    <w:p w14:paraId="2C4A73B7" w14:textId="77777777" w:rsidR="00780EFF" w:rsidRDefault="00780EFF" w:rsidP="00780EFF">
      <w:pPr>
        <w:ind w:left="2160"/>
        <w:jc w:val="both"/>
        <w:rPr>
          <w:rFonts w:asciiTheme="majorHAnsi" w:hAnsiTheme="majorHAnsi"/>
        </w:rPr>
      </w:pPr>
      <w:r>
        <w:rPr>
          <w:rFonts w:asciiTheme="majorHAnsi" w:hAnsiTheme="majorHAnsi"/>
          <w:b/>
          <w:bCs/>
        </w:rPr>
        <w:t>WFP:</w:t>
      </w:r>
      <w:r>
        <w:rPr>
          <w:rFonts w:asciiTheme="majorHAnsi" w:hAnsiTheme="majorHAnsi"/>
        </w:rPr>
        <w:t xml:space="preserve"> Quick criteria of invitation was established by the participants. The main gate keepers will be the co-chairs of the HDN TT. The main thing to remember is that it is a field focused group </w:t>
      </w:r>
      <w:r w:rsidR="00333498">
        <w:rPr>
          <w:rFonts w:asciiTheme="majorHAnsi" w:hAnsiTheme="majorHAnsi"/>
        </w:rPr>
        <w:t xml:space="preserve">who have expressed </w:t>
      </w:r>
      <w:r>
        <w:rPr>
          <w:rFonts w:asciiTheme="majorHAnsi" w:hAnsiTheme="majorHAnsi"/>
        </w:rPr>
        <w:t xml:space="preserve">not </w:t>
      </w:r>
      <w:r w:rsidR="00333498">
        <w:rPr>
          <w:rFonts w:asciiTheme="majorHAnsi" w:hAnsiTheme="majorHAnsi"/>
        </w:rPr>
        <w:t xml:space="preserve">to have </w:t>
      </w:r>
      <w:proofErr w:type="gramStart"/>
      <w:r>
        <w:rPr>
          <w:rFonts w:asciiTheme="majorHAnsi" w:hAnsiTheme="majorHAnsi"/>
        </w:rPr>
        <w:t>policy oriented</w:t>
      </w:r>
      <w:proofErr w:type="gramEnd"/>
      <w:r>
        <w:rPr>
          <w:rFonts w:asciiTheme="majorHAnsi" w:hAnsiTheme="majorHAnsi"/>
        </w:rPr>
        <w:t xml:space="preserve"> participants</w:t>
      </w:r>
      <w:r w:rsidR="00333498">
        <w:rPr>
          <w:rFonts w:asciiTheme="majorHAnsi" w:hAnsiTheme="majorHAnsi"/>
        </w:rPr>
        <w:t xml:space="preserve"> join as it was sensed this diverted from the operational focus they wanted</w:t>
      </w:r>
      <w:r>
        <w:rPr>
          <w:rFonts w:asciiTheme="majorHAnsi" w:hAnsiTheme="majorHAnsi"/>
        </w:rPr>
        <w:t xml:space="preserve">. </w:t>
      </w:r>
    </w:p>
    <w:p w14:paraId="3F46103E" w14:textId="77777777" w:rsidR="00780EFF" w:rsidRDefault="00780EFF" w:rsidP="00027661">
      <w:pPr>
        <w:ind w:left="2160"/>
        <w:jc w:val="both"/>
        <w:rPr>
          <w:rFonts w:asciiTheme="majorHAnsi" w:hAnsiTheme="majorHAnsi"/>
        </w:rPr>
      </w:pPr>
      <w:r>
        <w:rPr>
          <w:rFonts w:asciiTheme="majorHAnsi" w:hAnsiTheme="majorHAnsi"/>
          <w:b/>
          <w:bCs/>
        </w:rPr>
        <w:t>OCHA:</w:t>
      </w:r>
      <w:r>
        <w:rPr>
          <w:rFonts w:asciiTheme="majorHAnsi" w:hAnsiTheme="majorHAnsi"/>
        </w:rPr>
        <w:t xml:space="preserve"> The community of practice is an excellent </w:t>
      </w:r>
      <w:proofErr w:type="spellStart"/>
      <w:r w:rsidR="00333498">
        <w:rPr>
          <w:rFonts w:asciiTheme="majorHAnsi" w:hAnsiTheme="majorHAnsi"/>
        </w:rPr>
        <w:t>in</w:t>
      </w:r>
      <w:r w:rsidR="00027661">
        <w:rPr>
          <w:rFonts w:asciiTheme="majorHAnsi" w:hAnsiTheme="majorHAnsi"/>
        </w:rPr>
        <w:t>itative</w:t>
      </w:r>
      <w:proofErr w:type="spellEnd"/>
      <w:r>
        <w:rPr>
          <w:rFonts w:asciiTheme="majorHAnsi" w:hAnsiTheme="majorHAnsi"/>
        </w:rPr>
        <w:t>.  It would be useful to connect this agenda item with the</w:t>
      </w:r>
      <w:r w:rsidR="00027661">
        <w:rPr>
          <w:rFonts w:asciiTheme="majorHAnsi" w:hAnsiTheme="majorHAnsi"/>
        </w:rPr>
        <w:t xml:space="preserve"> two</w:t>
      </w:r>
      <w:r>
        <w:rPr>
          <w:rFonts w:asciiTheme="majorHAnsi" w:hAnsiTheme="majorHAnsi"/>
        </w:rPr>
        <w:t xml:space="preserve"> preceding </w:t>
      </w:r>
      <w:r w:rsidR="00027661">
        <w:rPr>
          <w:rFonts w:asciiTheme="majorHAnsi" w:hAnsiTheme="majorHAnsi"/>
        </w:rPr>
        <w:t>ones (capacity building and collective outcomes)</w:t>
      </w:r>
      <w:r>
        <w:rPr>
          <w:rFonts w:asciiTheme="majorHAnsi" w:hAnsiTheme="majorHAnsi"/>
        </w:rPr>
        <w:t xml:space="preserve">. This community </w:t>
      </w:r>
      <w:r w:rsidR="00027661">
        <w:rPr>
          <w:rFonts w:asciiTheme="majorHAnsi" w:hAnsiTheme="majorHAnsi"/>
        </w:rPr>
        <w:t xml:space="preserve">of practice is potentially very useful to generate good practice. Have you thought of any way to capture the practice that comes out of these </w:t>
      </w:r>
      <w:r w:rsidR="00333498">
        <w:rPr>
          <w:rFonts w:asciiTheme="majorHAnsi" w:hAnsiTheme="majorHAnsi"/>
        </w:rPr>
        <w:t>discussions?</w:t>
      </w:r>
    </w:p>
    <w:p w14:paraId="7DE9EF6A" w14:textId="77777777" w:rsidR="00333498" w:rsidRDefault="00333498" w:rsidP="00027661">
      <w:pPr>
        <w:ind w:left="2160"/>
        <w:jc w:val="both"/>
        <w:rPr>
          <w:rFonts w:asciiTheme="majorHAnsi" w:hAnsiTheme="majorHAnsi"/>
        </w:rPr>
      </w:pPr>
      <w:r>
        <w:rPr>
          <w:rFonts w:asciiTheme="majorHAnsi" w:hAnsiTheme="majorHAnsi"/>
          <w:b/>
          <w:bCs/>
        </w:rPr>
        <w:t>Co-</w:t>
      </w:r>
      <w:r w:rsidRPr="00333498">
        <w:rPr>
          <w:rFonts w:asciiTheme="majorHAnsi" w:hAnsiTheme="majorHAnsi"/>
          <w:b/>
        </w:rPr>
        <w:t>chairs</w:t>
      </w:r>
      <w:r>
        <w:rPr>
          <w:rFonts w:asciiTheme="majorHAnsi" w:hAnsiTheme="majorHAnsi"/>
        </w:rPr>
        <w:t xml:space="preserve"> noted the query and stated it would be brought to the group. </w:t>
      </w:r>
    </w:p>
    <w:p w14:paraId="1292ADFF" w14:textId="77777777" w:rsidR="007E166C" w:rsidRDefault="007E166C" w:rsidP="007E166C">
      <w:pPr>
        <w:jc w:val="both"/>
        <w:rPr>
          <w:rFonts w:asciiTheme="majorHAnsi" w:hAnsiTheme="majorHAnsi"/>
          <w:b/>
          <w:bCs/>
        </w:rPr>
      </w:pPr>
      <w:r w:rsidRPr="00353CAD">
        <w:rPr>
          <w:rFonts w:asciiTheme="majorHAnsi" w:hAnsiTheme="majorHAnsi"/>
          <w:b/>
          <w:bCs/>
        </w:rPr>
        <w:t xml:space="preserve">Agenda Item </w:t>
      </w:r>
      <w:r>
        <w:rPr>
          <w:rFonts w:asciiTheme="majorHAnsi" w:hAnsiTheme="majorHAnsi"/>
          <w:b/>
          <w:bCs/>
        </w:rPr>
        <w:t>8: Support Requests and UNDG cooperation</w:t>
      </w:r>
    </w:p>
    <w:p w14:paraId="2029C61D" w14:textId="77777777" w:rsidR="00E55D16" w:rsidRDefault="007E166C" w:rsidP="00D20971">
      <w:pPr>
        <w:ind w:left="1440"/>
        <w:jc w:val="both"/>
        <w:rPr>
          <w:rFonts w:asciiTheme="majorHAnsi" w:hAnsiTheme="majorHAnsi"/>
        </w:rPr>
      </w:pPr>
      <w:r>
        <w:rPr>
          <w:rFonts w:asciiTheme="majorHAnsi" w:hAnsiTheme="majorHAnsi"/>
          <w:b/>
          <w:bCs/>
        </w:rPr>
        <w:t xml:space="preserve">UNDP: </w:t>
      </w:r>
      <w:r w:rsidR="00027661">
        <w:rPr>
          <w:rFonts w:asciiTheme="majorHAnsi" w:hAnsiTheme="majorHAnsi"/>
        </w:rPr>
        <w:t xml:space="preserve">over the last few weeks the co-chairs have increasingly received requests for support. Currently we have requests from Mali and Iraq. Interestingly both of these requests are coming from units inside of missions – bringing an additional dimension in relation to the humanitarian, development, </w:t>
      </w:r>
      <w:r w:rsidR="00027661">
        <w:rPr>
          <w:rFonts w:asciiTheme="majorHAnsi" w:hAnsiTheme="majorHAnsi"/>
          <w:u w:val="single"/>
        </w:rPr>
        <w:t xml:space="preserve">peace </w:t>
      </w:r>
      <w:r w:rsidR="00027661">
        <w:rPr>
          <w:rFonts w:asciiTheme="majorHAnsi" w:hAnsiTheme="majorHAnsi"/>
        </w:rPr>
        <w:t xml:space="preserve">nexus. </w:t>
      </w:r>
    </w:p>
    <w:p w14:paraId="7DA1FC08" w14:textId="77777777" w:rsidR="007E166C" w:rsidRPr="00027661" w:rsidRDefault="00E55D16" w:rsidP="00D20971">
      <w:pPr>
        <w:ind w:left="1440"/>
        <w:jc w:val="both"/>
        <w:rPr>
          <w:rFonts w:asciiTheme="majorHAnsi" w:hAnsiTheme="majorHAnsi"/>
        </w:rPr>
      </w:pPr>
      <w:r>
        <w:rPr>
          <w:rFonts w:asciiTheme="majorHAnsi" w:hAnsiTheme="majorHAnsi"/>
        </w:rPr>
        <w:t>Secondly, by way of update, until such time as the UNDG decides on a structure that will replac</w:t>
      </w:r>
      <w:r w:rsidR="00D20971">
        <w:rPr>
          <w:rFonts w:asciiTheme="majorHAnsi" w:hAnsiTheme="majorHAnsi"/>
        </w:rPr>
        <w:t>e the now-closed</w:t>
      </w:r>
      <w:r>
        <w:rPr>
          <w:rFonts w:asciiTheme="majorHAnsi" w:hAnsiTheme="majorHAnsi"/>
        </w:rPr>
        <w:t xml:space="preserve"> results groups</w:t>
      </w:r>
      <w:r w:rsidR="00BF2183">
        <w:rPr>
          <w:rFonts w:asciiTheme="majorHAnsi" w:hAnsiTheme="majorHAnsi"/>
        </w:rPr>
        <w:t xml:space="preserve"> and associated task teams at the UNDG side</w:t>
      </w:r>
      <w:r>
        <w:rPr>
          <w:rFonts w:asciiTheme="majorHAnsi" w:hAnsiTheme="majorHAnsi"/>
        </w:rPr>
        <w:t xml:space="preserve">, the HDN TT </w:t>
      </w:r>
      <w:r w:rsidR="00BF2183">
        <w:rPr>
          <w:rFonts w:asciiTheme="majorHAnsi" w:hAnsiTheme="majorHAnsi"/>
        </w:rPr>
        <w:t>is w</w:t>
      </w:r>
      <w:r>
        <w:rPr>
          <w:rFonts w:asciiTheme="majorHAnsi" w:hAnsiTheme="majorHAnsi"/>
        </w:rPr>
        <w:t xml:space="preserve">ithout </w:t>
      </w:r>
      <w:r w:rsidR="00BF2183">
        <w:rPr>
          <w:rFonts w:asciiTheme="majorHAnsi" w:hAnsiTheme="majorHAnsi"/>
        </w:rPr>
        <w:t xml:space="preserve">the inter-agency </w:t>
      </w:r>
      <w:r>
        <w:rPr>
          <w:rFonts w:asciiTheme="majorHAnsi" w:hAnsiTheme="majorHAnsi"/>
        </w:rPr>
        <w:t xml:space="preserve">counterpart. </w:t>
      </w:r>
      <w:proofErr w:type="gramStart"/>
      <w:r w:rsidR="00BF2183">
        <w:rPr>
          <w:rFonts w:asciiTheme="majorHAnsi" w:hAnsiTheme="majorHAnsi"/>
        </w:rPr>
        <w:t>During  this</w:t>
      </w:r>
      <w:proofErr w:type="gramEnd"/>
      <w:r w:rsidR="00BF2183">
        <w:rPr>
          <w:rFonts w:asciiTheme="majorHAnsi" w:hAnsiTheme="majorHAnsi"/>
        </w:rPr>
        <w:t xml:space="preserve"> period </w:t>
      </w:r>
      <w:r>
        <w:rPr>
          <w:rFonts w:asciiTheme="majorHAnsi" w:hAnsiTheme="majorHAnsi"/>
        </w:rPr>
        <w:t xml:space="preserve">DOCO act as </w:t>
      </w:r>
      <w:r w:rsidR="00BF2183">
        <w:rPr>
          <w:rFonts w:asciiTheme="majorHAnsi" w:hAnsiTheme="majorHAnsi"/>
        </w:rPr>
        <w:t>the</w:t>
      </w:r>
      <w:r>
        <w:rPr>
          <w:rFonts w:asciiTheme="majorHAnsi" w:hAnsiTheme="majorHAnsi"/>
        </w:rPr>
        <w:t xml:space="preserve"> port of call to maintain momentum on activities between the IASC and UNDG</w:t>
      </w:r>
      <w:r w:rsidR="000925E6">
        <w:rPr>
          <w:rFonts w:asciiTheme="majorHAnsi" w:hAnsiTheme="majorHAnsi"/>
        </w:rPr>
        <w:t xml:space="preserve"> (as outlined in the Joint Plan of Action); </w:t>
      </w:r>
      <w:r w:rsidR="00D20971">
        <w:rPr>
          <w:rFonts w:asciiTheme="majorHAnsi" w:hAnsiTheme="majorHAnsi"/>
        </w:rPr>
        <w:t>particularity</w:t>
      </w:r>
      <w:r w:rsidR="000925E6">
        <w:rPr>
          <w:rFonts w:asciiTheme="majorHAnsi" w:hAnsiTheme="majorHAnsi"/>
        </w:rPr>
        <w:t xml:space="preserve"> on the Key Messages</w:t>
      </w:r>
      <w:r w:rsidR="00BF2183">
        <w:rPr>
          <w:rFonts w:asciiTheme="majorHAnsi" w:hAnsiTheme="majorHAnsi"/>
        </w:rPr>
        <w:t xml:space="preserve"> and report that the portfolio will be allocated within the new setup</w:t>
      </w:r>
      <w:r w:rsidR="000925E6">
        <w:rPr>
          <w:rFonts w:asciiTheme="majorHAnsi" w:hAnsiTheme="majorHAnsi"/>
        </w:rPr>
        <w:t>.</w:t>
      </w:r>
    </w:p>
    <w:p w14:paraId="4A4EB345" w14:textId="77777777" w:rsidR="007E166C" w:rsidRPr="007E166C" w:rsidRDefault="007E166C" w:rsidP="003F71DD">
      <w:pPr>
        <w:jc w:val="both"/>
        <w:rPr>
          <w:rFonts w:asciiTheme="majorHAnsi" w:hAnsiTheme="majorHAnsi"/>
        </w:rPr>
      </w:pPr>
    </w:p>
    <w:p w14:paraId="48403B5A" w14:textId="77777777" w:rsidR="003173CA" w:rsidRPr="0086502B" w:rsidRDefault="003173CA" w:rsidP="003173CA">
      <w:pPr>
        <w:ind w:left="284"/>
        <w:jc w:val="both"/>
        <w:rPr>
          <w:rFonts w:asciiTheme="majorHAnsi" w:hAnsiTheme="majorHAnsi"/>
        </w:rPr>
      </w:pPr>
    </w:p>
    <w:p w14:paraId="6331CB01" w14:textId="77777777" w:rsidR="0086502B" w:rsidRDefault="0086502B" w:rsidP="0086502B">
      <w:pPr>
        <w:jc w:val="both"/>
        <w:rPr>
          <w:rFonts w:asciiTheme="majorHAnsi" w:hAnsiTheme="majorHAnsi"/>
          <w:b/>
          <w:bCs/>
        </w:rPr>
      </w:pPr>
    </w:p>
    <w:sectPr w:rsidR="0086502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AB1D4" w14:textId="77777777" w:rsidR="00A84437" w:rsidRDefault="00A84437" w:rsidP="00876B34">
      <w:pPr>
        <w:spacing w:after="0" w:line="240" w:lineRule="auto"/>
      </w:pPr>
      <w:r>
        <w:separator/>
      </w:r>
    </w:p>
  </w:endnote>
  <w:endnote w:type="continuationSeparator" w:id="0">
    <w:p w14:paraId="0B3F9560" w14:textId="77777777" w:rsidR="00A84437" w:rsidRDefault="00A84437" w:rsidP="00876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390876"/>
      <w:docPartObj>
        <w:docPartGallery w:val="Page Numbers (Bottom of Page)"/>
        <w:docPartUnique/>
      </w:docPartObj>
    </w:sdtPr>
    <w:sdtEndPr>
      <w:rPr>
        <w:noProof/>
      </w:rPr>
    </w:sdtEndPr>
    <w:sdtContent>
      <w:p w14:paraId="3FB21C39" w14:textId="77777777" w:rsidR="005A1226" w:rsidRDefault="005A1226">
        <w:pPr>
          <w:pStyle w:val="Footer"/>
          <w:jc w:val="right"/>
        </w:pPr>
        <w:r>
          <w:fldChar w:fldCharType="begin"/>
        </w:r>
        <w:r>
          <w:instrText xml:space="preserve"> PAGE   \* MERGEFORMAT </w:instrText>
        </w:r>
        <w:r>
          <w:fldChar w:fldCharType="separate"/>
        </w:r>
        <w:r w:rsidR="00B91CF8">
          <w:rPr>
            <w:noProof/>
          </w:rPr>
          <w:t>3</w:t>
        </w:r>
        <w:r>
          <w:rPr>
            <w:noProof/>
          </w:rPr>
          <w:fldChar w:fldCharType="end"/>
        </w:r>
      </w:p>
    </w:sdtContent>
  </w:sdt>
  <w:p w14:paraId="2EF18C94" w14:textId="77777777" w:rsidR="005A1226" w:rsidRDefault="005A12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A607" w14:textId="77777777" w:rsidR="00A84437" w:rsidRDefault="00A84437" w:rsidP="00876B34">
      <w:pPr>
        <w:spacing w:after="0" w:line="240" w:lineRule="auto"/>
      </w:pPr>
      <w:r>
        <w:separator/>
      </w:r>
    </w:p>
  </w:footnote>
  <w:footnote w:type="continuationSeparator" w:id="0">
    <w:p w14:paraId="23C5B81A" w14:textId="77777777" w:rsidR="00A84437" w:rsidRDefault="00A84437" w:rsidP="00876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441E4"/>
    <w:multiLevelType w:val="hybridMultilevel"/>
    <w:tmpl w:val="ED90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C62BED"/>
    <w:multiLevelType w:val="hybridMultilevel"/>
    <w:tmpl w:val="A03CA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E6"/>
    <w:rsid w:val="000042B4"/>
    <w:rsid w:val="00004848"/>
    <w:rsid w:val="00027661"/>
    <w:rsid w:val="00030081"/>
    <w:rsid w:val="00034327"/>
    <w:rsid w:val="0005509D"/>
    <w:rsid w:val="00086E7B"/>
    <w:rsid w:val="000925E6"/>
    <w:rsid w:val="000953CA"/>
    <w:rsid w:val="000B2AEE"/>
    <w:rsid w:val="000C08B6"/>
    <w:rsid w:val="000D6773"/>
    <w:rsid w:val="00165F39"/>
    <w:rsid w:val="00167F7A"/>
    <w:rsid w:val="00170831"/>
    <w:rsid w:val="0017411C"/>
    <w:rsid w:val="001D57DB"/>
    <w:rsid w:val="001D6758"/>
    <w:rsid w:val="001F10F2"/>
    <w:rsid w:val="002118CD"/>
    <w:rsid w:val="002A0CE1"/>
    <w:rsid w:val="002B6F7E"/>
    <w:rsid w:val="002E33D9"/>
    <w:rsid w:val="002E4204"/>
    <w:rsid w:val="002E739A"/>
    <w:rsid w:val="003173CA"/>
    <w:rsid w:val="00320168"/>
    <w:rsid w:val="00333498"/>
    <w:rsid w:val="00353CAD"/>
    <w:rsid w:val="003B1E1A"/>
    <w:rsid w:val="003B50EF"/>
    <w:rsid w:val="003F71DD"/>
    <w:rsid w:val="00400928"/>
    <w:rsid w:val="00402760"/>
    <w:rsid w:val="00437514"/>
    <w:rsid w:val="004545DA"/>
    <w:rsid w:val="00481172"/>
    <w:rsid w:val="004D45AE"/>
    <w:rsid w:val="004D47D0"/>
    <w:rsid w:val="004E3698"/>
    <w:rsid w:val="004F329D"/>
    <w:rsid w:val="00521B4B"/>
    <w:rsid w:val="005320E6"/>
    <w:rsid w:val="00541332"/>
    <w:rsid w:val="00551CD4"/>
    <w:rsid w:val="00555997"/>
    <w:rsid w:val="005601FF"/>
    <w:rsid w:val="00581E98"/>
    <w:rsid w:val="00586709"/>
    <w:rsid w:val="005A1226"/>
    <w:rsid w:val="005D17F3"/>
    <w:rsid w:val="005E37C4"/>
    <w:rsid w:val="00601936"/>
    <w:rsid w:val="00612BC2"/>
    <w:rsid w:val="00650D74"/>
    <w:rsid w:val="00690484"/>
    <w:rsid w:val="006938B0"/>
    <w:rsid w:val="00695EC4"/>
    <w:rsid w:val="006A58D8"/>
    <w:rsid w:val="006E3846"/>
    <w:rsid w:val="006E780C"/>
    <w:rsid w:val="006F2A02"/>
    <w:rsid w:val="006F6A1D"/>
    <w:rsid w:val="00700759"/>
    <w:rsid w:val="007421C4"/>
    <w:rsid w:val="00743F05"/>
    <w:rsid w:val="00751A58"/>
    <w:rsid w:val="007700FE"/>
    <w:rsid w:val="00780EFF"/>
    <w:rsid w:val="007937AB"/>
    <w:rsid w:val="007E166C"/>
    <w:rsid w:val="007E4FDA"/>
    <w:rsid w:val="00854A36"/>
    <w:rsid w:val="00861234"/>
    <w:rsid w:val="008635D1"/>
    <w:rsid w:val="0086502B"/>
    <w:rsid w:val="00876B34"/>
    <w:rsid w:val="00895E64"/>
    <w:rsid w:val="008A77EE"/>
    <w:rsid w:val="008B7F1D"/>
    <w:rsid w:val="008D0FFD"/>
    <w:rsid w:val="008E228D"/>
    <w:rsid w:val="008F26D3"/>
    <w:rsid w:val="00904AB4"/>
    <w:rsid w:val="00911BBC"/>
    <w:rsid w:val="009270E9"/>
    <w:rsid w:val="00935410"/>
    <w:rsid w:val="00951E20"/>
    <w:rsid w:val="00953C65"/>
    <w:rsid w:val="00963533"/>
    <w:rsid w:val="00982CDB"/>
    <w:rsid w:val="00996C0A"/>
    <w:rsid w:val="009A3039"/>
    <w:rsid w:val="009D03CC"/>
    <w:rsid w:val="009F292D"/>
    <w:rsid w:val="00A013A2"/>
    <w:rsid w:val="00A347C6"/>
    <w:rsid w:val="00A43150"/>
    <w:rsid w:val="00A50F3D"/>
    <w:rsid w:val="00A51761"/>
    <w:rsid w:val="00A55593"/>
    <w:rsid w:val="00A62F64"/>
    <w:rsid w:val="00A7462B"/>
    <w:rsid w:val="00A77F3C"/>
    <w:rsid w:val="00A84437"/>
    <w:rsid w:val="00AD5A1F"/>
    <w:rsid w:val="00AD7490"/>
    <w:rsid w:val="00AF09F3"/>
    <w:rsid w:val="00B21768"/>
    <w:rsid w:val="00B253DB"/>
    <w:rsid w:val="00B439A5"/>
    <w:rsid w:val="00B52E79"/>
    <w:rsid w:val="00B54DAB"/>
    <w:rsid w:val="00B573B9"/>
    <w:rsid w:val="00B71FE9"/>
    <w:rsid w:val="00B91CF8"/>
    <w:rsid w:val="00BB116B"/>
    <w:rsid w:val="00BF2183"/>
    <w:rsid w:val="00C058D7"/>
    <w:rsid w:val="00C30FD5"/>
    <w:rsid w:val="00C448B5"/>
    <w:rsid w:val="00C62821"/>
    <w:rsid w:val="00C66731"/>
    <w:rsid w:val="00C93DCD"/>
    <w:rsid w:val="00CA30DB"/>
    <w:rsid w:val="00CA31E7"/>
    <w:rsid w:val="00CC2508"/>
    <w:rsid w:val="00CC7113"/>
    <w:rsid w:val="00CD7215"/>
    <w:rsid w:val="00CE47F1"/>
    <w:rsid w:val="00D0285F"/>
    <w:rsid w:val="00D20971"/>
    <w:rsid w:val="00D22305"/>
    <w:rsid w:val="00D34E54"/>
    <w:rsid w:val="00D4663C"/>
    <w:rsid w:val="00D53F9B"/>
    <w:rsid w:val="00D57EE9"/>
    <w:rsid w:val="00D74352"/>
    <w:rsid w:val="00DC1C6A"/>
    <w:rsid w:val="00DC3EFF"/>
    <w:rsid w:val="00DC6427"/>
    <w:rsid w:val="00DE4424"/>
    <w:rsid w:val="00E13581"/>
    <w:rsid w:val="00E14BFD"/>
    <w:rsid w:val="00E20212"/>
    <w:rsid w:val="00E24C3E"/>
    <w:rsid w:val="00E55D16"/>
    <w:rsid w:val="00E6148C"/>
    <w:rsid w:val="00E65CA9"/>
    <w:rsid w:val="00E91C90"/>
    <w:rsid w:val="00EC1025"/>
    <w:rsid w:val="00EC7499"/>
    <w:rsid w:val="00ED0D3E"/>
    <w:rsid w:val="00ED1D57"/>
    <w:rsid w:val="00EE2D12"/>
    <w:rsid w:val="00EE4434"/>
    <w:rsid w:val="00F27562"/>
    <w:rsid w:val="00F45821"/>
    <w:rsid w:val="00F5112F"/>
    <w:rsid w:val="00F806F3"/>
    <w:rsid w:val="00FF2BC6"/>
    <w:rsid w:val="00FF67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0E70"/>
  <w15:docId w15:val="{D508926E-F6FD-4E41-96CF-058D73C9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0E6"/>
    <w:pPr>
      <w:ind w:left="720"/>
      <w:contextualSpacing/>
    </w:pPr>
  </w:style>
  <w:style w:type="paragraph" w:styleId="FootnoteText">
    <w:name w:val="footnote text"/>
    <w:basedOn w:val="Normal"/>
    <w:link w:val="FootnoteTextChar"/>
    <w:uiPriority w:val="99"/>
    <w:semiHidden/>
    <w:unhideWhenUsed/>
    <w:rsid w:val="00876B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6B34"/>
    <w:rPr>
      <w:sz w:val="20"/>
      <w:szCs w:val="20"/>
    </w:rPr>
  </w:style>
  <w:style w:type="character" w:styleId="FootnoteReference">
    <w:name w:val="footnote reference"/>
    <w:basedOn w:val="DefaultParagraphFont"/>
    <w:uiPriority w:val="99"/>
    <w:semiHidden/>
    <w:unhideWhenUsed/>
    <w:rsid w:val="00876B34"/>
    <w:rPr>
      <w:vertAlign w:val="superscript"/>
    </w:rPr>
  </w:style>
  <w:style w:type="paragraph" w:styleId="BalloonText">
    <w:name w:val="Balloon Text"/>
    <w:basedOn w:val="Normal"/>
    <w:link w:val="BalloonTextChar"/>
    <w:uiPriority w:val="99"/>
    <w:semiHidden/>
    <w:unhideWhenUsed/>
    <w:rsid w:val="002E7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39A"/>
    <w:rPr>
      <w:rFonts w:ascii="Tahoma" w:hAnsi="Tahoma" w:cs="Tahoma"/>
      <w:sz w:val="16"/>
      <w:szCs w:val="16"/>
    </w:rPr>
  </w:style>
  <w:style w:type="character" w:styleId="CommentReference">
    <w:name w:val="annotation reference"/>
    <w:basedOn w:val="DefaultParagraphFont"/>
    <w:uiPriority w:val="99"/>
    <w:semiHidden/>
    <w:unhideWhenUsed/>
    <w:rsid w:val="002E739A"/>
    <w:rPr>
      <w:sz w:val="16"/>
      <w:szCs w:val="16"/>
    </w:rPr>
  </w:style>
  <w:style w:type="paragraph" w:styleId="CommentText">
    <w:name w:val="annotation text"/>
    <w:basedOn w:val="Normal"/>
    <w:link w:val="CommentTextChar"/>
    <w:uiPriority w:val="99"/>
    <w:semiHidden/>
    <w:unhideWhenUsed/>
    <w:rsid w:val="002E739A"/>
    <w:pPr>
      <w:spacing w:line="240" w:lineRule="auto"/>
    </w:pPr>
    <w:rPr>
      <w:sz w:val="20"/>
      <w:szCs w:val="20"/>
    </w:rPr>
  </w:style>
  <w:style w:type="character" w:customStyle="1" w:styleId="CommentTextChar">
    <w:name w:val="Comment Text Char"/>
    <w:basedOn w:val="DefaultParagraphFont"/>
    <w:link w:val="CommentText"/>
    <w:uiPriority w:val="99"/>
    <w:semiHidden/>
    <w:rsid w:val="002E739A"/>
    <w:rPr>
      <w:sz w:val="20"/>
      <w:szCs w:val="20"/>
    </w:rPr>
  </w:style>
  <w:style w:type="paragraph" w:styleId="CommentSubject">
    <w:name w:val="annotation subject"/>
    <w:basedOn w:val="CommentText"/>
    <w:next w:val="CommentText"/>
    <w:link w:val="CommentSubjectChar"/>
    <w:uiPriority w:val="99"/>
    <w:semiHidden/>
    <w:unhideWhenUsed/>
    <w:rsid w:val="002E739A"/>
    <w:rPr>
      <w:b/>
      <w:bCs/>
    </w:rPr>
  </w:style>
  <w:style w:type="character" w:customStyle="1" w:styleId="CommentSubjectChar">
    <w:name w:val="Comment Subject Char"/>
    <w:basedOn w:val="CommentTextChar"/>
    <w:link w:val="CommentSubject"/>
    <w:uiPriority w:val="99"/>
    <w:semiHidden/>
    <w:rsid w:val="002E739A"/>
    <w:rPr>
      <w:b/>
      <w:bCs/>
      <w:sz w:val="20"/>
      <w:szCs w:val="20"/>
    </w:rPr>
  </w:style>
  <w:style w:type="character" w:styleId="Hyperlink">
    <w:name w:val="Hyperlink"/>
    <w:basedOn w:val="DefaultParagraphFont"/>
    <w:uiPriority w:val="99"/>
    <w:unhideWhenUsed/>
    <w:rsid w:val="00581E98"/>
    <w:rPr>
      <w:color w:val="0563C1"/>
      <w:u w:val="single"/>
    </w:rPr>
  </w:style>
  <w:style w:type="table" w:styleId="TableGrid">
    <w:name w:val="Table Grid"/>
    <w:basedOn w:val="TableNormal"/>
    <w:uiPriority w:val="59"/>
    <w:rsid w:val="004F3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F32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29D"/>
  </w:style>
  <w:style w:type="paragraph" w:styleId="Footer">
    <w:name w:val="footer"/>
    <w:basedOn w:val="Normal"/>
    <w:link w:val="FooterChar"/>
    <w:uiPriority w:val="99"/>
    <w:unhideWhenUsed/>
    <w:rsid w:val="004F32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24592">
      <w:bodyDiv w:val="1"/>
      <w:marLeft w:val="0"/>
      <w:marRight w:val="0"/>
      <w:marTop w:val="0"/>
      <w:marBottom w:val="0"/>
      <w:divBdr>
        <w:top w:val="none" w:sz="0" w:space="0" w:color="auto"/>
        <w:left w:val="none" w:sz="0" w:space="0" w:color="auto"/>
        <w:bottom w:val="none" w:sz="0" w:space="0" w:color="auto"/>
        <w:right w:val="none" w:sz="0" w:space="0" w:color="auto"/>
      </w:divBdr>
    </w:div>
    <w:div w:id="850680835">
      <w:bodyDiv w:val="1"/>
      <w:marLeft w:val="0"/>
      <w:marRight w:val="0"/>
      <w:marTop w:val="0"/>
      <w:marBottom w:val="0"/>
      <w:divBdr>
        <w:top w:val="none" w:sz="0" w:space="0" w:color="auto"/>
        <w:left w:val="none" w:sz="0" w:space="0" w:color="auto"/>
        <w:bottom w:val="none" w:sz="0" w:space="0" w:color="auto"/>
        <w:right w:val="none" w:sz="0" w:space="0" w:color="auto"/>
      </w:divBdr>
    </w:div>
    <w:div w:id="208609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016F5-8672-4107-9CC1-8CCAD3BD9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POKU, Kwame</dc:creator>
  <cp:lastModifiedBy>Renee Goulet</cp:lastModifiedBy>
  <cp:revision>2</cp:revision>
  <cp:lastPrinted>2016-09-30T14:14:00Z</cp:lastPrinted>
  <dcterms:created xsi:type="dcterms:W3CDTF">2021-06-21T19:48:00Z</dcterms:created>
  <dcterms:modified xsi:type="dcterms:W3CDTF">2021-06-21T19:48:00Z</dcterms:modified>
</cp:coreProperties>
</file>